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1F3A"/>
          <w:sz w:val="40"/>
        </w:rPr>
        <w:t>Demand Forecasting for Defense Logistics:</w:t>
        <w:br/>
        <w:t>The Traditional Approach vs. EDM Vector Intelligence</w:t>
      </w:r>
    </w:p>
    <w:p>
      <w:pPr>
        <w:spacing w:after="40"/>
      </w:pPr>
      <w:r>
        <w:rPr>
          <w:b w:val="0"/>
          <w:i w:val="0"/>
          <w:color w:val="555F6B"/>
          <w:sz w:val="25"/>
        </w:rPr>
        <w:t>A business and technology overview — what the innovation is, what it delivers, and what the evidence shows</w:t>
      </w:r>
    </w:p>
    <w:p>
      <w:pPr>
        <w:spacing w:after="40"/>
      </w:pPr>
      <w:r>
        <w:rPr>
          <w:b w:val="0"/>
          <w:i w:val="0"/>
          <w:color w:val="555F6B"/>
          <w:sz w:val="19"/>
        </w:rPr>
        <w:t>22nd Century Technologies, Inc.  ·  V-Intelligence DLA Program  ·  June 2026  ·  Business Edition</w:t>
      </w:r>
    </w:p>
    <w:p>
      <w:pPr>
        <w:spacing w:after="80"/>
      </w:pPr>
      <w:r>
        <w:rPr>
          <w:b w:val="0"/>
          <w:i/>
          <w:color w:val="C25A12"/>
          <w:sz w:val="19"/>
        </w:rPr>
        <w:t>Disclosure note: this edition describes the architecture and the innovation, and reports measured results. The exact model logic — formulas, thresholds, and adjustment parameters — is proprietary and is withheld here; it is available in the full technical edition under NDA (non-disclosure agreement).</w:t>
      </w:r>
    </w:p>
    <w:p>
      <w:pPr>
        <w:spacing w:after="160"/>
      </w:pPr>
      <w:r>
        <w:rPr>
          <w:b w:val="0"/>
          <w:i/>
          <w:color w:val="C25A12"/>
          <w:sz w:val="19"/>
        </w:rPr>
        <w:t>Data note: all results in this paper come from a synthetic (simulated) dataset built to prove the concept — 500 items, 200 suppliers, 4 depots, 24 months, ~277,000 requisitions. They must be re-validated on real Defense Logistics Agency data before any operational claim.</w:t>
      </w:r>
    </w:p>
    <w:p>
      <w:pPr>
        <w:spacing w:before="280" w:after="80"/>
      </w:pPr>
      <w:r>
        <w:rPr>
          <w:b/>
          <w:color w:val="0B1F3A"/>
          <w:sz w:val="30"/>
        </w:rPr>
        <w:t>1.  Executive Summary</w:t>
      </w:r>
    </w:p>
    <w:p>
      <w:pPr>
        <w:spacing w:after="120"/>
      </w:pPr>
      <w:r>
        <w:rPr>
          <w:b w:val="0"/>
          <w:i w:val="0"/>
          <w:sz w:val="21"/>
        </w:rPr>
        <w:t>The Defense Logistics Agency (DLA) buys and positions spare parts for the Department of Defense. Every forecast it produces feeds a bet under uncertainty: how much to stock, where, and at what budget. Defense demand is intermittent (most weeks see zero orders), lumpy (order sizes swing widely), and regime-changing (exercises, deployments, and lifecycle shifts reshape it quickly). A single best-guess number cannot support that decision — the planner needs a calibrated range, and a system that reacts before the change is obvious.</w:t>
      </w:r>
    </w:p>
    <w:p>
      <w:pPr>
        <w:spacing w:after="120"/>
      </w:pPr>
      <w:r>
        <w:rPr>
          <w:b w:val="0"/>
          <w:i w:val="0"/>
          <w:sz w:val="21"/>
        </w:rPr>
        <w:t>The legacy forecaster extrapolates each item's own history and draws its uncertainty range in a single fixed shape: the range can slide up or down, but never tighten when demand calms or widen when it destabilizes. That frozen shape is the root cause of systematic over- and under-ordering.</w:t>
      </w:r>
    </w:p>
    <w:p>
      <w:pPr>
        <w:spacing w:after="120"/>
      </w:pPr>
      <w:r>
        <w:rPr>
          <w:b w:val="0"/>
          <w:i w:val="0"/>
          <w:sz w:val="21"/>
        </w:rPr>
        <w:t>EDM Vector Intelligence (EDM = Entity Digital Model) adds the dimension legacy structurally lacks. It represents every item-at-a-depot as a digital entity in a high-dimensional behavior space — the same kind of semantic representation that powers large language models, applied to supply-chain behavior instead of language. Re-profiling each entity monthly produces a trajectory; measuring that trajectory ("drift") tells us where the item is heading; and matching the drift direction against eight named supply-chain situations tells us what it is becoming. The forecast and its uncertainty bands are then adjusted early — before the shift appears in raw order counts.</w:t>
      </w:r>
    </w:p>
    <w:p>
      <w:pPr>
        <w:spacing w:after="120"/>
      </w:pPr>
      <w:r>
        <w:rPr>
          <w:b/>
          <w:i w:val="0"/>
          <w:sz w:val="21"/>
        </w:rPr>
        <w:t>The innovation in one line: legacy forecasts the past and freezes the bands; EDM detects where the item is heading and right-sizes both the plan and its uncertainty — early.</w:t>
      </w:r>
    </w:p>
    <w:p>
      <w:pPr>
        <w:pStyle w:val="ListBullet"/>
        <w:spacing w:after="60"/>
      </w:pPr>
      <w:r>
        <w:rPr>
          <w:b/>
          <w:sz w:val="21"/>
        </w:rPr>
        <w:t xml:space="preserve">Right-sized procurement. </w:t>
      </w:r>
      <w:r>
        <w:rPr>
          <w:sz w:val="21"/>
        </w:rPr>
        <w:t xml:space="preserve"> On a declining item (an adapter plate at Red River Army Depot), legacy planned 407 units over 8 weeks at the safety-stock level; EDM planned 218 — 189 fewer units, roughly $564,000 of avoided procurement on a single item.</w:t>
      </w:r>
    </w:p>
    <w:p>
      <w:pPr>
        <w:pStyle w:val="ListBullet"/>
        <w:spacing w:after="60"/>
      </w:pPr>
      <w:r>
        <w:rPr>
          <w:b/>
          <w:sz w:val="21"/>
        </w:rPr>
        <w:t xml:space="preserve">Early warning. </w:t>
      </w:r>
      <w:r>
        <w:rPr>
          <w:sz w:val="21"/>
        </w:rPr>
        <w:t xml:space="preserve"> On an item drifting toward a supply disruption, EDM raises the plan and widens the bands 1–3 months before the disruption shows in delivery counts.</w:t>
      </w:r>
    </w:p>
    <w:p>
      <w:pPr>
        <w:pStyle w:val="ListBullet"/>
        <w:spacing w:after="60"/>
      </w:pPr>
      <w:r>
        <w:rPr>
          <w:b/>
          <w:sz w:val="21"/>
        </w:rPr>
        <w:t xml:space="preserve">Trustworthy uncertainty. </w:t>
      </w:r>
      <w:r>
        <w:rPr>
          <w:sz w:val="21"/>
        </w:rPr>
        <w:t xml:space="preserve"> The probability model is exceptionally well-calibrated (when it says 70%, demand occurs about 70% of the time — Grade A in testing), so safety stock can target a real service level.</w:t>
      </w:r>
    </w:p>
    <w:p>
      <w:pPr>
        <w:spacing w:before="280" w:after="80"/>
      </w:pPr>
      <w:r>
        <w:rPr>
          <w:b/>
          <w:color w:val="0B1F3A"/>
          <w:sz w:val="30"/>
        </w:rPr>
        <w:t>2.  The Problem</w:t>
      </w:r>
    </w:p>
    <w:p>
      <w:pPr>
        <w:spacing w:after="120"/>
      </w:pPr>
      <w:r>
        <w:rPr>
          <w:b w:val="0"/>
          <w:i w:val="0"/>
          <w:sz w:val="21"/>
        </w:rPr>
        <w:t>Three properties of defense-parts demand defeat a single-number forecast:</w:t>
      </w:r>
    </w:p>
    <w:p>
      <w:pPr>
        <w:pStyle w:val="ListBullet"/>
        <w:spacing w:after="60"/>
      </w:pPr>
      <w:r>
        <w:rPr>
          <w:b/>
          <w:sz w:val="21"/>
        </w:rPr>
        <w:t xml:space="preserve">Intermittency. </w:t>
      </w:r>
      <w:r>
        <w:rPr>
          <w:sz w:val="21"/>
        </w:rPr>
        <w:t xml:space="preserve"> Most item-weeks have zero demand. Whether demand occurs at all is a separate question from how much — and both must be modeled.</w:t>
      </w:r>
    </w:p>
    <w:p>
      <w:pPr>
        <w:pStyle w:val="ListBullet"/>
        <w:spacing w:after="60"/>
      </w:pPr>
      <w:r>
        <w:rPr>
          <w:b/>
          <w:sz w:val="21"/>
        </w:rPr>
        <w:t xml:space="preserve">Lumpiness. </w:t>
      </w:r>
      <w:r>
        <w:rPr>
          <w:sz w:val="21"/>
        </w:rPr>
        <w:t xml:space="preserve"> When demand occurs it varies widely; the spread of outcomes matters as much as the center.</w:t>
      </w:r>
    </w:p>
    <w:p>
      <w:pPr>
        <w:pStyle w:val="ListBullet"/>
        <w:spacing w:after="60"/>
      </w:pPr>
      <w:r>
        <w:rPr>
          <w:b/>
          <w:sz w:val="21"/>
        </w:rPr>
        <w:t xml:space="preserve">Regime change. </w:t>
      </w:r>
      <w:r>
        <w:rPr>
          <w:sz w:val="21"/>
        </w:rPr>
        <w:t xml:space="preserve"> Exercises, deployments, and lifecycle transitions reshape demand by category and timing. A forecaster that cannot see the shift forming reacts only after it has happened.</w:t>
      </w:r>
    </w:p>
    <w:p>
      <w:pPr>
        <w:spacing w:after="120"/>
      </w:pPr>
      <w:r>
        <w:rPr>
          <w:b w:val="0"/>
          <w:i w:val="0"/>
          <w:sz w:val="21"/>
        </w:rPr>
        <w:t>The right output is therefore a calibrated distribution per item, location, and week — a low (P10), median (P50), and high (P90) estimate, where "P90" means the level demand stays under 90% of the time — produced by a system that can also reason across items, suppliers, and depots rather than one series at a time.</w:t>
      </w:r>
    </w:p>
    <w:p>
      <w:pPr>
        <w:spacing w:before="280" w:after="80"/>
      </w:pPr>
      <w:r>
        <w:rPr>
          <w:b/>
          <w:color w:val="0B1F3A"/>
          <w:sz w:val="30"/>
        </w:rPr>
        <w:t>3.  The Traditional (Legacy) Approach</w:t>
      </w:r>
    </w:p>
    <w:p>
      <w:pPr>
        <w:spacing w:after="120"/>
      </w:pPr>
      <w:r>
        <w:rPr>
          <w:b w:val="0"/>
          <w:i w:val="0"/>
          <w:sz w:val="21"/>
        </w:rPr>
        <w:t>The legacy forecaster examines one item's history at one depot, computes the recent average and trend, applies exercise and fiscal-calendar factors, and scales its historical demand percentiles by the combined ratio. It is transparent and fast — and it is the baseline EDM must beat.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448"/>
            <w:shd w:val="clear" w:fill="0B1F3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Stage</w:t>
            </w:r>
          </w:p>
        </w:tc>
        <w:tc>
          <w:tcPr>
            <w:tcW w:type="dxa" w:w="7344"/>
            <w:shd w:val="clear" w:fill="0B1F3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2448"/>
            <w:shd w:val="clear" w:fill="F4F6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9"/>
              </w:rPr>
              <w:t>1. Load &amp; aggregate</w:t>
            </w:r>
          </w:p>
        </w:tc>
        <w:tc>
          <w:tcPr>
            <w:tcW w:type="dxa" w:w="734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Pull ~6 months of requisitions for this item at this depot into weekly buckets.</w:t>
            </w:r>
          </w:p>
        </w:tc>
      </w:tr>
      <w:tr>
        <w:tc>
          <w:tcPr>
            <w:tcW w:type="dxa" w:w="2448"/>
            <w:shd w:val="clear" w:fill="F4F6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9"/>
              </w:rPr>
              <w:t>2. Empirical percentiles</w:t>
            </w:r>
          </w:p>
        </w:tc>
        <w:tc>
          <w:tcPr>
            <w:tcW w:type="dxa" w:w="734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Compute how often demand occurs and the historical low-to-high spread. A new item with no history forecasts zero.</w:t>
            </w:r>
          </w:p>
        </w:tc>
      </w:tr>
      <w:tr>
        <w:tc>
          <w:tcPr>
            <w:tcW w:type="dxa" w:w="2448"/>
            <w:shd w:val="clear" w:fill="F4F6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9"/>
              </w:rPr>
              <w:t>3. Exercise calendar</w:t>
            </w:r>
          </w:p>
        </w:tc>
        <w:tc>
          <w:tcPr>
            <w:tcW w:type="dxa" w:w="734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Apply per-item exercise multipliers with ramp-up and wind-down periods.</w:t>
            </w:r>
          </w:p>
        </w:tc>
      </w:tr>
      <w:tr>
        <w:tc>
          <w:tcPr>
            <w:tcW w:type="dxa" w:w="2448"/>
            <w:shd w:val="clear" w:fill="F4F6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9"/>
              </w:rPr>
              <w:t>4. Fiscal calendar</w:t>
            </w:r>
          </w:p>
        </w:tc>
        <w:tc>
          <w:tcPr>
            <w:tcW w:type="dxa" w:w="734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Adjust for Department of Defense fiscal-year quarter effects.</w:t>
            </w:r>
          </w:p>
        </w:tc>
      </w:tr>
      <w:tr>
        <w:tc>
          <w:tcPr>
            <w:tcW w:type="dxa" w:w="2448"/>
            <w:shd w:val="clear" w:fill="F4F6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9"/>
              </w:rPr>
              <w:t>5. Trend &amp; scale</w:t>
            </w:r>
          </w:p>
        </w:tc>
        <w:tc>
          <w:tcPr>
            <w:tcW w:type="dxa" w:w="734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Project the recent trend and scale every percentile by the same combined ratio.</w:t>
            </w:r>
          </w:p>
        </w:tc>
      </w:tr>
      <w:tr>
        <w:tc>
          <w:tcPr>
            <w:tcW w:type="dxa" w:w="2448"/>
            <w:shd w:val="clear" w:fill="F4F6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9"/>
              </w:rPr>
              <w:t>6. Simulation</w:t>
            </w:r>
          </w:p>
        </w:tc>
        <w:tc>
          <w:tcPr>
            <w:tcW w:type="dxa" w:w="734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 shared Monte Carlo simulation converts weekly estimates into the 8-week cumulative safety-stock target (the same simulator EDM uses, for a fair comparison).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C25A12"/>
          <w:sz w:val="24"/>
        </w:rPr>
        <w:t>Why it is not enough</w:t>
      </w:r>
    </w:p>
    <w:p>
      <w:pPr>
        <w:pStyle w:val="ListBullet"/>
        <w:spacing w:after="60"/>
      </w:pPr>
      <w:r>
        <w:rPr>
          <w:b/>
          <w:sz w:val="21"/>
        </w:rPr>
        <w:t xml:space="preserve">Frozen band shape. </w:t>
      </w:r>
      <w:r>
        <w:rPr>
          <w:sz w:val="21"/>
        </w:rPr>
        <w:t xml:space="preserve"> Because every percentile scales by one ratio, the ratio of high-to-median never changes. The band cannot narrow on a calming item or widen on a destabilizing one — the direct cause of over- and under-ordering.</w:t>
      </w:r>
    </w:p>
    <w:p>
      <w:pPr>
        <w:pStyle w:val="ListBullet"/>
        <w:spacing w:after="60"/>
      </w:pPr>
      <w:r>
        <w:rPr>
          <w:b/>
          <w:sz w:val="21"/>
        </w:rPr>
        <w:t xml:space="preserve">Backward-looking. </w:t>
      </w:r>
      <w:r>
        <w:rPr>
          <w:sz w:val="21"/>
        </w:rPr>
        <w:t xml:space="preserve"> Trend extrapolation cannot anticipate a regime change; it reacts only after the counts move.</w:t>
      </w:r>
    </w:p>
    <w:p>
      <w:pPr>
        <w:pStyle w:val="ListBullet"/>
        <w:spacing w:after="60"/>
      </w:pPr>
      <w:r>
        <w:rPr>
          <w:b/>
          <w:sz w:val="21"/>
        </w:rPr>
        <w:t xml:space="preserve">Cold-start blindness. </w:t>
      </w:r>
      <w:r>
        <w:rPr>
          <w:sz w:val="21"/>
        </w:rPr>
        <w:t xml:space="preserve"> A new or sparse item receives a zero forecast, with no mechanism to borrow from similar items.</w:t>
      </w:r>
    </w:p>
    <w:p>
      <w:pPr>
        <w:pStyle w:val="ListBullet"/>
        <w:spacing w:after="60"/>
      </w:pPr>
      <w:r>
        <w:rPr>
          <w:b/>
          <w:sz w:val="21"/>
        </w:rPr>
        <w:t xml:space="preserve">Single-entity tunnel vision. </w:t>
      </w:r>
      <w:r>
        <w:rPr>
          <w:sz w:val="21"/>
        </w:rPr>
        <w:t xml:space="preserve"> One item, one depot, one data source — no cross-item learning, no behavioral signal.</w:t>
      </w:r>
    </w:p>
    <w:p>
      <w:pPr>
        <w:spacing w:before="280" w:after="80"/>
      </w:pPr>
      <w:r>
        <w:rPr>
          <w:b/>
          <w:color w:val="0B1F3A"/>
          <w:sz w:val="30"/>
        </w:rPr>
        <w:t>4.  The EDM Vector Intelligence Approach</w:t>
      </w:r>
    </w:p>
    <w:p>
      <w:pPr>
        <w:spacing w:before="160" w:after="60"/>
      </w:pPr>
      <w:r>
        <w:rPr>
          <w:b/>
          <w:color w:val="C25A12"/>
          <w:sz w:val="24"/>
        </w:rPr>
        <w:t>4.1  The digital entity and its drift</w:t>
      </w:r>
    </w:p>
    <w:p>
      <w:pPr>
        <w:spacing w:after="120"/>
      </w:pPr>
      <w:r>
        <w:rPr>
          <w:b w:val="0"/>
          <w:i w:val="0"/>
          <w:sz w:val="21"/>
        </w:rPr>
        <w:t>First, the central concept in plain terms. A "digital entity" (sometimes called a digital twin) is a living profile of a real-world thing, maintained in software. Think of a patient's medical chart: it does not just record today's temperature — it accumulates history, vitals, and context, and a doctor reads its trend to act before a condition becomes acute. EDM keeps exactly such a chart for every part at every depot: not just "how many were ordered," but the full behavioral picture — and, critically, how that picture is changing month over month.</w:t>
      </w:r>
    </w:p>
    <w:p>
      <w:pPr>
        <w:spacing w:after="120"/>
      </w:pPr>
      <w:r>
        <w:rPr>
          <w:b w:val="0"/>
          <w:i w:val="0"/>
          <w:sz w:val="21"/>
        </w:rPr>
        <w:t>EDM models each item-location pair — identified by NSN (National Stock Number, the part's unique ID) and DODAAC (the code for a depot or activity) — as a digital entity in a unified 1,536-dimension semantic space: a mathematical "map of meaning" where items that behave alike sit near each other, even when their raw numbers differ. The entity is built from five behavioral signals: demand, supply, inventory, volatility, and operational context. Each signal's metrics are serialized into a structured natural-language description and converted into a numerical vector by an embedding model — the representational machinery of large language models, repurposed to understand demand behavior instead of language.</w:t>
      </w:r>
    </w:p>
    <w:p>
      <w:pPr>
        <w:spacing w:after="120"/>
      </w:pPr>
      <w:r>
        <w:rPr>
          <w:b w:val="0"/>
          <w:i w:val="0"/>
          <w:sz w:val="21"/>
        </w:rPr>
        <w:t>Each month the entity is re-embedded, so over 16–23 monthly snapshots it traces a trajectory through the behavior space. Forecasting then asks two questions a moving average cannot: what has this item been doing (a calibrated statistical baseline), and — the innovation — where is it heading (its drift), so the plan can adjust before the raw numbers move.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736"/>
            <w:shd w:val="clear" w:fill="0B1F3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Behavioral signal</w:t>
            </w:r>
          </w:p>
        </w:tc>
        <w:tc>
          <w:tcPr>
            <w:tcW w:type="dxa" w:w="7056"/>
            <w:shd w:val="clear" w:fill="0B1F3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What it captures</w:t>
            </w:r>
          </w:p>
        </w:tc>
      </w:tr>
      <w:tr>
        <w:tc>
          <w:tcPr>
            <w:tcW w:type="dxa" w:w="2736"/>
            <w:shd w:val="clear" w:fill="F4F6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9"/>
              </w:rPr>
              <w:t>Demand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Volume, frequency, trend, and variability of weekly demand.</w:t>
            </w:r>
          </w:p>
        </w:tc>
      </w:tr>
      <w:tr>
        <w:tc>
          <w:tcPr>
            <w:tcW w:type="dxa" w:w="2736"/>
            <w:shd w:val="clear" w:fill="F4F6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9"/>
              </w:rPr>
              <w:t>Supply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Supplier count, sole-source exposure, concentration, and delivery performance.</w:t>
            </w:r>
          </w:p>
        </w:tc>
      </w:tr>
      <w:tr>
        <w:tc>
          <w:tcPr>
            <w:tcW w:type="dxa" w:w="2736"/>
            <w:shd w:val="clear" w:fill="F4F6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9"/>
              </w:rPr>
              <w:t>Inventory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On-hand position, trajectory, and safety-stock posture.</w:t>
            </w:r>
          </w:p>
        </w:tc>
      </w:tr>
      <w:tr>
        <w:tc>
          <w:tcPr>
            <w:tcW w:type="dxa" w:w="2736"/>
            <w:shd w:val="clear" w:fill="F4F6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9"/>
              </w:rPr>
              <w:t>Volatility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Zero-demand fraction, demand intervals, and stability of the pattern.</w:t>
            </w:r>
          </w:p>
        </w:tc>
      </w:tr>
      <w:tr>
        <w:tc>
          <w:tcPr>
            <w:tcW w:type="dxa" w:w="2736"/>
            <w:shd w:val="clear" w:fill="F4F6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9"/>
              </w:rPr>
              <w:t>Context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Criticality, stock ratios, and operational setting.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1"/>
        </w:rPr>
        <w:t>The five signal vectors compose into one monthly entity state. Because every entity lives in the same space, the system can also find behavioral neighbors — which is what gives a brand-new item a meaningful forecast borrowed from items that behave like it (cohort transfer), something legacy cannot do at all.</w:t>
      </w:r>
    </w:p>
    <w:p>
      <w:pPr>
        <w:spacing w:before="160" w:after="60"/>
      </w:pPr>
      <w:r>
        <w:rPr>
          <w:b/>
          <w:color w:val="C25A12"/>
          <w:sz w:val="24"/>
        </w:rPr>
        <w:t>4.2  Architecture and data</w:t>
      </w:r>
    </w:p>
    <w:p>
      <w:pPr>
        <w:spacing w:after="120"/>
      </w:pPr>
      <w:r>
        <w:rPr>
          <w:b w:val="0"/>
          <w:i w:val="0"/>
          <w:sz w:val="21"/>
        </w:rPr>
        <w:t>The system is a containerized service: an API (Application Programming Interface) layer over a PostgreSQL database with a vector store (fast similarity search over the entity embeddings), bi-temporal history (every fact is stored with both when it happened and when the system learned it), and point-in-time feature functions that guarantee no future information leaks into training. It ingests the requisition, order, inventory, and operational-calendar data DLA already produces — no new instrumentation. The production baseline uses 25 engineered features per item-depot-week; with all EDM layers active, the model ingests 67 features, adding embedding-derived zone signals, entity-trajectory measures, and cohort-transfer features.</w:t>
      </w:r>
    </w:p>
    <w:p>
      <w:pPr>
        <w:spacing w:before="160" w:after="60"/>
      </w:pPr>
      <w:r>
        <w:rPr>
          <w:b/>
          <w:color w:val="C25A12"/>
          <w:sz w:val="24"/>
        </w:rPr>
        <w:t>4.3  The drift-augmented forecast — the innovation</w:t>
      </w:r>
    </w:p>
    <w:p>
      <w:pPr>
        <w:spacing w:after="120"/>
      </w:pPr>
      <w:r>
        <w:rPr>
          <w:b w:val="0"/>
          <w:i w:val="0"/>
          <w:sz w:val="21"/>
        </w:rPr>
        <w:t>The drift layer wraps a calibrated baseline in five steps. We describe what each step does; the exact formulas, thresholds, and adjustment parameters are proprietary and withheld in this edition.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448"/>
            <w:shd w:val="clear" w:fill="0B1F3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Step</w:t>
            </w:r>
          </w:p>
        </w:tc>
        <w:tc>
          <w:tcPr>
            <w:tcW w:type="dxa" w:w="7344"/>
            <w:shd w:val="clear" w:fill="0B1F3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2448"/>
            <w:shd w:val="clear" w:fill="F4F6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9"/>
              </w:rPr>
              <w:t>1. Calibrated baseline</w:t>
            </w:r>
          </w:p>
        </w:tc>
        <w:tc>
          <w:tcPr>
            <w:tcW w:type="dxa" w:w="734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 two-stage ("hurdle") model — first the probability that any demand occurs, then the size if it does, as a set of percentile estimates. This is the statistically correct shape for zero-inflated demand.</w:t>
            </w:r>
          </w:p>
        </w:tc>
      </w:tr>
      <w:tr>
        <w:tc>
          <w:tcPr>
            <w:tcW w:type="dxa" w:w="2448"/>
            <w:shd w:val="clear" w:fill="F4F6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9"/>
              </w:rPr>
              <w:t>2. Trajectory load</w:t>
            </w:r>
          </w:p>
        </w:tc>
        <w:tc>
          <w:tcPr>
            <w:tcW w:type="dxa" w:w="734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Load the entity's monthly behavior snapshots. If too few exist, return the baseline unchanged — the system degrades gracefully rather than guessing.</w:t>
            </w:r>
          </w:p>
        </w:tc>
      </w:tr>
      <w:tr>
        <w:tc>
          <w:tcPr>
            <w:tcW w:type="dxa" w:w="2448"/>
            <w:shd w:val="clear" w:fill="F4F6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9"/>
              </w:rPr>
              <w:t>3. Drift measurement</w:t>
            </w:r>
          </w:p>
        </w:tc>
        <w:tc>
          <w:tcPr>
            <w:tcW w:type="dxa" w:w="734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Measure how fast and how consistently the entity is moving through behavior space (its velocity, acceleration, and consistency).</w:t>
            </w:r>
          </w:p>
        </w:tc>
      </w:tr>
      <w:tr>
        <w:tc>
          <w:tcPr>
            <w:tcW w:type="dxa" w:w="2448"/>
            <w:shd w:val="clear" w:fill="F4F6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9"/>
              </w:rPr>
              <w:t>4. Direction naming</w:t>
            </w:r>
          </w:p>
        </w:tc>
        <w:tc>
          <w:tcPr>
            <w:tcW w:type="dxa" w:w="734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Compare the drift direction against eight pre-embedded supply-chain concepts; the strongest match names what the entity is becoming.</w:t>
            </w:r>
          </w:p>
        </w:tc>
      </w:tr>
      <w:tr>
        <w:tc>
          <w:tcPr>
            <w:tcW w:type="dxa" w:w="2448"/>
            <w:shd w:val="clear" w:fill="F4F6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9"/>
              </w:rPr>
              <w:t>5. Plan adjustment</w:t>
            </w:r>
          </w:p>
        </w:tc>
        <w:tc>
          <w:tcPr>
            <w:tcW w:type="dxa" w:w="734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Translate the named direction into a bounded adjustment of the plan and an independent reshaping of the uncertainty bands, then re-run the simulation on the adjusted estimates.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1"/>
        </w:rPr>
        <w:t>The eight named directions and how each moves the plan: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448"/>
            <w:shd w:val="clear" w:fill="0B1F3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Concept</w:t>
            </w:r>
          </w:p>
        </w:tc>
        <w:tc>
          <w:tcPr>
            <w:tcW w:type="dxa" w:w="1728"/>
            <w:shd w:val="clear" w:fill="0B1F3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Plan effect</w:t>
            </w:r>
          </w:p>
        </w:tc>
        <w:tc>
          <w:tcPr>
            <w:tcW w:type="dxa" w:w="5616"/>
            <w:shd w:val="clear" w:fill="0B1F3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448"/>
            <w:shd w:val="clear" w:fill="F4F6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9"/>
              </w:rPr>
              <w:t>Demand surge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Order more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Rising volume, depleting stock, stockout risk forming.</w:t>
            </w:r>
          </w:p>
        </w:tc>
      </w:tr>
      <w:tr>
        <w:tc>
          <w:tcPr>
            <w:tcW w:type="dxa" w:w="2448"/>
            <w:shd w:val="clear" w:fill="F4F6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9"/>
              </w:rPr>
              <w:t>Supply disruption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Order more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Lead times stretching, supplier performance degrading.</w:t>
            </w:r>
          </w:p>
        </w:tc>
      </w:tr>
      <w:tr>
        <w:tc>
          <w:tcPr>
            <w:tcW w:type="dxa" w:w="2448"/>
            <w:shd w:val="clear" w:fill="F4F6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9"/>
              </w:rPr>
              <w:t>Critical shortage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Order more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Approaching stockout on a high-mission-impact item.</w:t>
            </w:r>
          </w:p>
        </w:tc>
      </w:tr>
      <w:tr>
        <w:tc>
          <w:tcPr>
            <w:tcW w:type="dxa" w:w="2448"/>
            <w:shd w:val="clear" w:fill="F4F6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9"/>
              </w:rPr>
              <w:t>Demand decline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Order less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Demand tapering off; excess-carry risk.</w:t>
            </w:r>
          </w:p>
        </w:tc>
      </w:tr>
      <w:tr>
        <w:tc>
          <w:tcPr>
            <w:tcW w:type="dxa" w:w="2448"/>
            <w:shd w:val="clear" w:fill="F4F6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9"/>
              </w:rPr>
              <w:t>Excess inventory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Order less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On-hand position too high; obsolescence risk.</w:t>
            </w:r>
          </w:p>
        </w:tc>
      </w:tr>
      <w:tr>
        <w:tc>
          <w:tcPr>
            <w:tcW w:type="dxa" w:w="2448"/>
            <w:shd w:val="clear" w:fill="F4F6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9"/>
              </w:rPr>
              <w:t>Stable consumption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No change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Predictable behavior; the baseline is already right.</w:t>
            </w:r>
          </w:p>
        </w:tc>
      </w:tr>
      <w:tr>
        <w:tc>
          <w:tcPr>
            <w:tcW w:type="dxa" w:w="2448"/>
            <w:shd w:val="clear" w:fill="F4F6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9"/>
              </w:rPr>
              <w:t>Intermittent demand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Widen bands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Sparse demand; uncertainty honestly widened.</w:t>
            </w:r>
          </w:p>
        </w:tc>
      </w:tr>
      <w:tr>
        <w:tc>
          <w:tcPr>
            <w:tcW w:type="dxa" w:w="2448"/>
            <w:shd w:val="clear" w:fill="F4F6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9"/>
              </w:rPr>
              <w:t>Volatility increase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Widen bands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Direction unknown; bands widen, median untouched.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1"/>
        </w:rPr>
        <w:t>Two design properties matter operationally. First, the bands move independently of the median — unlike legacy, the band shape itself changes with the situation: narrow on a calm decline, wide on a forming disruption. Second, the adjustment is deliberately conservative: it is capped to a modest maximum, damped when the drift signal is weak or inconsistent, and overridden entirely in defined safety cases — so noise never moves procurement, and the model nudges rather than lurches.</w:t>
      </w:r>
    </w:p>
    <w:p>
      <w:pPr>
        <w:spacing w:before="280" w:after="80"/>
      </w:pPr>
      <w:r>
        <w:rPr>
          <w:b/>
          <w:color w:val="0B1F3A"/>
          <w:sz w:val="30"/>
        </w:rPr>
        <w:t>5.  Results (Synthetic Data)</w:t>
      </w:r>
    </w:p>
    <w:p>
      <w:pPr>
        <w:spacing w:before="160" w:after="60"/>
      </w:pPr>
      <w:r>
        <w:rPr>
          <w:b/>
          <w:color w:val="C25A12"/>
          <w:sz w:val="24"/>
        </w:rPr>
        <w:t>5.1  The honest scoreboard first: point accuracy</w:t>
      </w:r>
    </w:p>
    <w:p>
      <w:pPr>
        <w:spacing w:after="120"/>
      </w:pPr>
      <w:r>
        <w:rPr>
          <w:b w:val="0"/>
          <w:i w:val="0"/>
          <w:sz w:val="21"/>
        </w:rPr>
        <w:t>WAPE (Weighted Absolute Percentage Error) is the standard point-accuracy metric: total forecast error divided by total actual demand; lower is better. On WAPE, the production model on engineered features alone (0.791) and the same model with the embedding features added (0.789) are effectively tied — on synthetic data, the embedding features do not improve point accuracy. We say that plainly. But WAPE scores a single median number. The decision a planner actually makes — the safety-stock target, and how early the plan adapts — lives in the distribution and its direction, which WAPE does not measure at all.</w:t>
      </w:r>
    </w:p>
    <w:p>
      <w:pPr>
        <w:spacing w:before="160" w:after="60"/>
      </w:pPr>
      <w:r>
        <w:rPr>
          <w:b/>
          <w:color w:val="C25A12"/>
          <w:sz w:val="24"/>
        </w:rPr>
        <w:t>5.2  The right scoreboard: procurement-plan accuracy</w:t>
      </w:r>
    </w:p>
    <w:p>
      <w:pPr>
        <w:spacing w:after="120"/>
      </w:pPr>
      <w:r>
        <w:rPr>
          <w:b w:val="0"/>
          <w:i w:val="0"/>
          <w:sz w:val="21"/>
        </w:rPr>
        <w:t>The decision the forecast feeds is the 8-week cumulative P90 — the safety-stock target. Three worked situations show the three things the drift layer does: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304"/>
            <w:shd w:val="clear" w:fill="0B1F3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Situation</w:t>
            </w:r>
          </w:p>
        </w:tc>
        <w:tc>
          <w:tcPr>
            <w:tcW w:type="dxa" w:w="3744"/>
            <w:shd w:val="clear" w:fill="0B1F3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What happens</w:t>
            </w:r>
          </w:p>
        </w:tc>
        <w:tc>
          <w:tcPr>
            <w:tcW w:type="dxa" w:w="3744"/>
            <w:shd w:val="clear" w:fill="0B1F3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Outcome</w:t>
            </w:r>
          </w:p>
        </w:tc>
      </w:tr>
      <w:tr>
        <w:tc>
          <w:tcPr>
            <w:tcW w:type="dxa" w:w="2304"/>
            <w:shd w:val="clear" w:fill="F4F6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9"/>
              </w:rPr>
              <w:t>Declining item — reduce</w:t>
              <w:br/>
              <w:t>(real system output)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An adapter plate at Red River Army Depot, drifting toward "demand decline" across 23 monthly snapshots. EDM lowers the plan and tightens the bands.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Legacy plans 407 units (P90) over 8 weeks; EDM plans 218 — 189 fewer units, ~$564,000 avoided on one item. Most of the gap comes from the calibrated baseline and dynamic bands; the drift layer adds the directional nudge.</w:t>
            </w:r>
          </w:p>
        </w:tc>
      </w:tr>
      <w:tr>
        <w:tc>
          <w:tcPr>
            <w:tcW w:type="dxa" w:w="2304"/>
            <w:shd w:val="clear" w:fill="F4F6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9"/>
              </w:rPr>
              <w:t>Disruption forming — increase</w:t>
              <w:br/>
              <w:t>(illustrative)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 sole-source critical item whose trajectory aligns with "supply disruption." The adjustment reaches its cap and the bands widen.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EDM raises the plan 1–3 months before the disruption shows in deliveries; legacy reacts only once the shortage is already forming. This is the leading-indicator value a moving average cannot provide.</w:t>
            </w:r>
          </w:p>
        </w:tc>
      </w:tr>
      <w:tr>
        <w:tc>
          <w:tcPr>
            <w:tcW w:type="dxa" w:w="2304"/>
            <w:shd w:val="clear" w:fill="F4F6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9"/>
              </w:rPr>
              <w:t>Destabilizing item — widen</w:t>
              <w:br/>
              <w:t>(illustrative)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An item drifting toward "volatility increase." The median is left unchanged — the system does not pretend to know the direction.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The uncertainty bands widen substantially, signaling more buffer. Legacy's frozen narrow band would understate the risk and invite a surprise stockout.</w:t>
            </w:r>
          </w:p>
        </w:tc>
      </w:tr>
    </w:tbl>
    <w:p>
      <w:pPr>
        <w:spacing w:after="40"/>
      </w:pP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52160" cy="28424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rocure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42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F6B"/>
          <w:sz w:val="17"/>
        </w:rPr>
        <w:t>Figure 1 — The declining item (adapter plate, Red River Army Depot): 8-week cumulative procurement plan. Legacy's frozen, trend-extrapolated band plans to 407 units at the safety-stock level; EDM plans 218 — 189 fewer units, ≈ $564,000 avoided on one item. (System output, synthetic data.)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52160" cy="25080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ban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08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F6B"/>
          <w:sz w:val="17"/>
        </w:rPr>
        <w:t>Figure 2 — Why the band shape matters. Legacy's band shape is frozen; EDM tightens it on a calming item (left, avoiding over-ordering) and widens it on a destabilizing one (right, surfacing the real risk). (Illustrative.)</w:t>
      </w:r>
    </w:p>
    <w:p>
      <w:pPr>
        <w:spacing w:before="160" w:after="60"/>
      </w:pPr>
      <w:r>
        <w:rPr>
          <w:b/>
          <w:color w:val="C25A12"/>
          <w:sz w:val="24"/>
        </w:rPr>
        <w:t>5.3  Calibration — why the bands can be trusted</w:t>
      </w:r>
    </w:p>
    <w:p>
      <w:pPr>
        <w:spacing w:after="120"/>
      </w:pPr>
      <w:r>
        <w:rPr>
          <w:b w:val="0"/>
          <w:i w:val="0"/>
          <w:sz w:val="21"/>
        </w:rPr>
        <w:t>A probability model is trustworthy when its stated chances match reality. The occurrence model earned Grade A calibration (Expected Calibration Error 0.032), and the quantity percentiles cover close to their nominal targets — the median lands at 49.8% against a 50% target. The one deviation is conservative: the low (P10) percentile is slightly cautious, which is the safer failure mode for readiness.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52160" cy="25714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calibr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71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F6B"/>
          <w:sz w:val="17"/>
        </w:rPr>
        <w:t>Figure 3 — Calibration: measured coverage tracks the target across all percentiles (synthetic data). The only deviation (P10) errs on the cautious side — the safer failure mode for readiness.</w:t>
      </w:r>
    </w:p>
    <w:p>
      <w:pPr>
        <w:spacing w:after="120"/>
      </w:pPr>
      <w:r>
        <w:rPr>
          <w:b w:val="0"/>
          <w:i w:val="0"/>
          <w:sz w:val="21"/>
        </w:rPr>
        <w:t>The demand is genuinely intermittent — the worked example item has 54% zero-demand weeks. A moving average smooths that away; the two-stage model handles occurrence and quantity separately, which is why its percentiles stay calibrated.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52160" cy="23408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intermitt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F6B"/>
          <w:sz w:val="17"/>
        </w:rPr>
        <w:t>Figure 4 — What intermittent demand actually looks like (bars) versus the legacy moving average (line). The average smooths away the zeros and spikes that drive readiness risk. (Illustrative, synthetic.)</w:t>
      </w:r>
    </w:p>
    <w:p>
      <w:pPr>
        <w:spacing w:before="160" w:after="60"/>
      </w:pPr>
      <w:r>
        <w:rPr>
          <w:b/>
          <w:color w:val="C25A12"/>
          <w:sz w:val="24"/>
        </w:rPr>
        <w:t>5.4  Model evaluation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736"/>
            <w:shd w:val="clear" w:fill="0B1F3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3312"/>
            <w:shd w:val="clear" w:fill="0B1F3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2304"/>
            <w:shd w:val="clear" w:fill="0B1F3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1296"/>
            <w:shd w:val="clear" w:fill="0B1F3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Grade</w:t>
            </w:r>
          </w:p>
        </w:tc>
      </w:tr>
      <w:tr>
        <w:tc>
          <w:tcPr>
            <w:tcW w:type="dxa" w:w="2736"/>
            <w:shd w:val="clear" w:fill="F4F6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9"/>
              </w:rPr>
              <w:t>Demand occurrence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Calibration (ECE)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0.032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</w:t>
            </w:r>
          </w:p>
        </w:tc>
      </w:tr>
      <w:tr>
        <w:tc>
          <w:tcPr>
            <w:tcW w:type="dxa" w:w="2736"/>
            <w:shd w:val="clear" w:fill="F4F6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9"/>
              </w:rPr>
              <w:t>Demand occurrence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Brier score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0.089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</w:t>
            </w:r>
          </w:p>
        </w:tc>
      </w:tr>
      <w:tr>
        <w:tc>
          <w:tcPr>
            <w:tcW w:type="dxa" w:w="2736"/>
            <w:shd w:val="clear" w:fill="F4F6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9"/>
              </w:rPr>
              <w:t>Demand quantity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Point accuracy (WAPE)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0.791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C</w:t>
            </w:r>
          </w:p>
        </w:tc>
      </w:tr>
      <w:tr>
        <w:tc>
          <w:tcPr>
            <w:tcW w:type="dxa" w:w="2736"/>
            <w:shd w:val="clear" w:fill="F4F6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9"/>
              </w:rPr>
              <w:t>Demand percentiles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Median coverage (target 50%)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49.8%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</w:t>
            </w:r>
          </w:p>
        </w:tc>
      </w:tr>
      <w:tr>
        <w:tc>
          <w:tcPr>
            <w:tcW w:type="dxa" w:w="2736"/>
            <w:shd w:val="clear" w:fill="F4F6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9"/>
              </w:rPr>
              <w:t>Lead time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Median error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1.9 days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B</w:t>
            </w:r>
          </w:p>
        </w:tc>
      </w:tr>
      <w:tr>
        <w:tc>
          <w:tcPr>
            <w:tcW w:type="dxa" w:w="2736"/>
            <w:shd w:val="clear" w:fill="F4F6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9"/>
              </w:rPr>
              <w:t>Drift adjustment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Capped, damped under weak signal, bands stay ordered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By design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1"/>
        </w:rPr>
        <w:t>Everything is scored out-of-time (the model is always tested on periods it never saw), with point-in-time features so no future data leaks into training. The honest verdict: the distribution a planner acts on is trustworthy (Grade A calibration); point accuracy is modest, which is the nature of intermittent demand and the wrong lens for this innovation; and the embedding/drift layer earns its place on capability — early direction, cold-start transfer, dynamic bands — not on WAPE.</w:t>
      </w:r>
    </w:p>
    <w:p>
      <w:pPr>
        <w:spacing w:before="280" w:after="80"/>
      </w:pPr>
      <w:r>
        <w:rPr>
          <w:b/>
          <w:color w:val="0B1F3A"/>
          <w:sz w:val="30"/>
        </w:rPr>
        <w:t>6.  Scale and Deployment</w:t>
      </w:r>
    </w:p>
    <w:p>
      <w:pPr>
        <w:pStyle w:val="ListBullet"/>
        <w:spacing w:after="60"/>
      </w:pPr>
      <w:r>
        <w:rPr>
          <w:b/>
          <w:sz w:val="21"/>
        </w:rPr>
        <w:t xml:space="preserve">Performance. </w:t>
      </w:r>
      <w:r>
        <w:rPr>
          <w:sz w:val="21"/>
        </w:rPr>
        <w:t xml:space="preserve"> Embeddings are cached, feature views are precomputed, and forecasts run in batch; entity-similarity lookups return in milliseconds.</w:t>
      </w:r>
    </w:p>
    <w:p>
      <w:pPr>
        <w:pStyle w:val="ListBullet"/>
        <w:spacing w:after="60"/>
      </w:pPr>
      <w:r>
        <w:rPr>
          <w:b/>
          <w:sz w:val="21"/>
        </w:rPr>
        <w:t xml:space="preserve">Latency. </w:t>
      </w:r>
      <w:r>
        <w:rPr>
          <w:sz w:val="21"/>
        </w:rPr>
        <w:t xml:space="preserve"> Legacy responds in ~50–150 ms per item; EDM in ~200–400 ms — both comfortably interactive.</w:t>
      </w:r>
    </w:p>
    <w:p>
      <w:pPr>
        <w:pStyle w:val="ListBullet"/>
        <w:spacing w:after="60"/>
      </w:pPr>
      <w:r>
        <w:rPr>
          <w:b/>
          <w:sz w:val="21"/>
        </w:rPr>
        <w:t xml:space="preserve">Footprint. </w:t>
      </w:r>
      <w:r>
        <w:rPr>
          <w:sz w:val="21"/>
        </w:rPr>
        <w:t xml:space="preserve"> Containerized and database-backed; deployable in a DLA data center or secure enclave. Ingests existing requisition, order, inventory, and calendar data — no new instrumentation.</w:t>
      </w:r>
    </w:p>
    <w:p>
      <w:pPr>
        <w:pStyle w:val="ListBullet"/>
        <w:spacing w:after="60"/>
      </w:pPr>
      <w:r>
        <w:rPr>
          <w:b/>
          <w:sz w:val="21"/>
        </w:rPr>
        <w:t xml:space="preserve">Air-gap option. </w:t>
      </w:r>
      <w:r>
        <w:rPr>
          <w:sz w:val="21"/>
        </w:rPr>
        <w:t xml:space="preserve"> The external embedding model can be swapped for a locally hosted one for air-gapped operation.</w:t>
      </w:r>
    </w:p>
    <w:p>
      <w:pPr>
        <w:pStyle w:val="ListBullet"/>
        <w:spacing w:after="60"/>
      </w:pPr>
      <w:r>
        <w:rPr>
          <w:b/>
          <w:sz w:val="21"/>
        </w:rPr>
        <w:t xml:space="preserve">Low-risk rollout. </w:t>
      </w:r>
      <w:r>
        <w:rPr>
          <w:sz w:val="21"/>
        </w:rPr>
        <w:t xml:space="preserve"> Run legacy and EDM side by side (the application's Live Explorer does exactly this), compare plans, then feed EDM into procurement.</w:t>
      </w:r>
    </w:p>
    <w:p>
      <w:pPr>
        <w:spacing w:before="280" w:after="80"/>
      </w:pPr>
      <w:r>
        <w:rPr>
          <w:b/>
          <w:color w:val="0B1F3A"/>
          <w:sz w:val="30"/>
        </w:rPr>
        <w:t>7.  Why This Is New</w:t>
      </w:r>
    </w:p>
    <w:p>
      <w:pPr>
        <w:spacing w:after="120"/>
      </w:pPr>
      <w:r>
        <w:rPr>
          <w:b w:val="0"/>
          <w:i w:val="0"/>
          <w:sz w:val="21"/>
        </w:rPr>
        <w:t>The contribution is the drift-augmented entity model, not a new point estimator. Classical methods (moving averages, exponential smoothing, statistical time-series models such as ARIMA, and the Croston family of methods for intermittent demand) model each series in isolation with static uncertainty. Modern machine-learning forecasters and foundation time-series models improve point accuracy but offer no cross-entity semantic space and no named direction of change.</w:t>
      </w:r>
    </w:p>
    <w:p>
      <w:pPr>
        <w:spacing w:after="120"/>
      </w:pPr>
      <w:r>
        <w:rPr>
          <w:b w:val="0"/>
          <w:i w:val="0"/>
          <w:sz w:val="21"/>
        </w:rPr>
        <w:t>A structured, source-verified review of the market and literature (2024–2026) found no commercially marketed platform, and no single published method, that forecasts this way. The major demand-planning platforms forecast with machine-learning models over tabular features; their generative AI is a conversational copilot layer, not the forecasting mechanism. Academic foundation models tokenize the numeric series directly rather than embedding entity behavior.</w:t>
      </w:r>
    </w:p>
    <w:p>
      <w:pPr>
        <w:spacing w:after="120"/>
      </w:pPr>
      <w:r>
        <w:rPr>
          <w:b/>
          <w:i w:val="0"/>
          <w:sz w:val="21"/>
        </w:rPr>
        <w:t>We are explicit about prior art: the individual ingredients — serializing structured data to text for embedding, detecting anomalies in embedding space, measuring embedding drift, and similarity-based transfer — each exist separately in the literature. What is not offered, commercially or in any single published system, is their composition: a unified entity-embedding space whose drift is measured, named against supply-chain concepts, and used to right-size both the procurement plan and its uncertainty bands, early. The innovation is the integrated architecture.</w:t>
      </w:r>
    </w:p>
    <w:p>
      <w:pPr>
        <w:spacing w:after="120"/>
      </w:pPr>
      <w:r>
        <w:rPr>
          <w:b w:val="0"/>
          <w:i/>
          <w:color w:val="555F6B"/>
          <w:sz w:val="19"/>
        </w:rPr>
        <w:t>Scoping notes: vendor internals are not fully public (the comparison is against marketed methodology), and a formal freedom-to-operate review (a patent-clearance analysis by counsel) is recommended before any contractual assertion of uniqueness.</w:t>
      </w:r>
    </w:p>
    <w:p>
      <w:pPr>
        <w:spacing w:before="280" w:after="80"/>
      </w:pPr>
      <w:r>
        <w:rPr>
          <w:b/>
          <w:color w:val="0B1F3A"/>
          <w:sz w:val="30"/>
        </w:rPr>
        <w:t>8.  Limitations — Stated Plainly</w:t>
      </w:r>
    </w:p>
    <w:p>
      <w:pPr>
        <w:pStyle w:val="ListBullet"/>
        <w:spacing w:after="60"/>
      </w:pPr>
      <w:r>
        <w:rPr>
          <w:sz w:val="21"/>
        </w:rPr>
        <w:t>All metrics and dollar figures are synthetic and must be re-measured on real DLA data.</w:t>
      </w:r>
    </w:p>
    <w:p>
      <w:pPr>
        <w:pStyle w:val="ListBullet"/>
        <w:spacing w:after="60"/>
      </w:pPr>
      <w:r>
        <w:rPr>
          <w:sz w:val="21"/>
        </w:rPr>
        <w:t>On point accuracy (WAPE), EDM does not yet beat legacy; the case rests on procurement-plan accuracy, calibration, and capability.</w:t>
      </w:r>
    </w:p>
    <w:p>
      <w:pPr>
        <w:pStyle w:val="ListBullet"/>
        <w:spacing w:after="60"/>
      </w:pPr>
      <w:r>
        <w:rPr>
          <w:sz w:val="21"/>
        </w:rPr>
        <w:t>The drift layer currently adjusts how much to stock, not whether demand will occur — a deliberate simplification worth revisiting.</w:t>
      </w:r>
    </w:p>
    <w:p>
      <w:pPr>
        <w:pStyle w:val="ListBullet"/>
        <w:spacing w:after="60"/>
      </w:pPr>
      <w:r>
        <w:rPr>
          <w:sz w:val="21"/>
        </w:rPr>
        <w:t>The drift adjustment is applied uniformly across the forecast horizon rather than week by week.</w:t>
      </w:r>
    </w:p>
    <w:p>
      <w:pPr>
        <w:pStyle w:val="ListBullet"/>
        <w:spacing w:after="60"/>
      </w:pPr>
      <w:r>
        <w:rPr>
          <w:sz w:val="21"/>
        </w:rPr>
        <w:t>Exercise-related behavior depends on calendar flags being populated; missing flags would skew exercise-scenario comparisons.</w:t>
      </w:r>
    </w:p>
    <w:p>
      <w:pPr>
        <w:pStyle w:val="ListBullet"/>
        <w:spacing w:after="60"/>
      </w:pPr>
      <w:r>
        <w:rPr>
          <w:sz w:val="21"/>
        </w:rPr>
        <w:t>Real embeddings depend on an external model; air-gapped deployment requires re-characterizing a local replacement.</w:t>
      </w:r>
    </w:p>
    <w:p>
      <w:pPr>
        <w:spacing w:before="280" w:after="80"/>
      </w:pPr>
      <w:r>
        <w:rPr>
          <w:b/>
          <w:color w:val="0B1F3A"/>
          <w:sz w:val="30"/>
        </w:rPr>
        <w:t>9.  Conclusion</w:t>
      </w:r>
    </w:p>
    <w:p>
      <w:pPr>
        <w:spacing w:after="120"/>
      </w:pPr>
      <w:r>
        <w:rPr>
          <w:b w:val="0"/>
          <w:i w:val="0"/>
          <w:sz w:val="21"/>
        </w:rPr>
        <w:t>Judged on point accuracy, legacy and EDM tie — and that is the wrong test. Defense-logistics demand is intermittent and regime-changing, and the decision it feeds is a distribution, not a number. Legacy forecasts the past and freezes its uncertainty band, so it systematically over- and under-orders. EDM models each item-depot as a digital entity, detects where it is heading in behavior space, names the direction against eight supply-chain concepts, and right-sizes both the plan and its bands — early. On the system's own output, that is hundreds of thousands of dollars of avoided over-procurement on a single declining item, and a 1–3 month head start on a disruption.</w:t>
      </w:r>
    </w:p>
    <w:p>
      <w:pPr>
        <w:spacing w:after="120"/>
      </w:pPr>
      <w:r>
        <w:rPr>
          <w:b/>
          <w:i w:val="0"/>
          <w:sz w:val="21"/>
        </w:rPr>
        <w:t>Legacy answers "what is the expected demand?" EDM answers "where is this item heading, and what should we stock to be ready?" — and adjusts before the raw numbers move.</w:t>
      </w:r>
    </w:p>
    <w:p>
      <w:pPr>
        <w:spacing w:before="280" w:after="80"/>
      </w:pPr>
      <w:r>
        <w:rPr>
          <w:b/>
          <w:color w:val="0B1F3A"/>
          <w:sz w:val="30"/>
        </w:rPr>
        <w:t>Appendix —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736"/>
            <w:shd w:val="clear" w:fill="0B1F3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Term</w:t>
            </w:r>
          </w:p>
        </w:tc>
        <w:tc>
          <w:tcPr>
            <w:tcW w:type="dxa" w:w="7056"/>
            <w:shd w:val="clear" w:fill="0B1F3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736"/>
            <w:shd w:val="clear" w:fill="F4F6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0B1F3A"/>
                <w:sz w:val="18"/>
              </w:rPr>
              <w:t>Digital entity / digital twin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A living software profile of a real-world thing — like a patient's medical chart for a part: history, vitals, context, and trend, updated monthly.</w:t>
            </w:r>
          </w:p>
        </w:tc>
      </w:tr>
      <w:tr>
        <w:tc>
          <w:tcPr>
            <w:tcW w:type="dxa" w:w="2736"/>
            <w:shd w:val="clear" w:fill="F4F6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0B1F3A"/>
                <w:sz w:val="18"/>
              </w:rPr>
              <w:t>Semantic space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A mathematical "map of meaning": items whose behavior is similar sit near each other, even if their raw numbers differ.</w:t>
            </w:r>
          </w:p>
        </w:tc>
      </w:tr>
      <w:tr>
        <w:tc>
          <w:tcPr>
            <w:tcW w:type="dxa" w:w="2736"/>
            <w:shd w:val="clear" w:fill="F4F6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0B1F3A"/>
                <w:sz w:val="18"/>
              </w:rPr>
              <w:t>DLA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Defense Logistics Agency — the Department of Defense organization that buys and distributes spare parts and supplies.</w:t>
            </w:r>
          </w:p>
        </w:tc>
      </w:tr>
      <w:tr>
        <w:tc>
          <w:tcPr>
            <w:tcW w:type="dxa" w:w="2736"/>
            <w:shd w:val="clear" w:fill="F4F6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0B1F3A"/>
                <w:sz w:val="18"/>
              </w:rPr>
              <w:t>EDM Vector Intelligence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Entity Digital Model — our approach: a digital behavioral profile of each part whose movement over time drives the forecast.</w:t>
            </w:r>
          </w:p>
        </w:tc>
      </w:tr>
      <w:tr>
        <w:tc>
          <w:tcPr>
            <w:tcW w:type="dxa" w:w="2736"/>
            <w:shd w:val="clear" w:fill="F4F6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0B1F3A"/>
                <w:sz w:val="18"/>
              </w:rPr>
              <w:t>NSN / DODAAC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National Stock Number (a part's unique ID) / the code identifying a depot or activity.</w:t>
            </w:r>
          </w:p>
        </w:tc>
      </w:tr>
      <w:tr>
        <w:tc>
          <w:tcPr>
            <w:tcW w:type="dxa" w:w="2736"/>
            <w:shd w:val="clear" w:fill="F4F6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0B1F3A"/>
                <w:sz w:val="18"/>
              </w:rPr>
              <w:t>Embedding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A numerical vector that captures the meaning of a description — the core representation inside large language models.</w:t>
            </w:r>
          </w:p>
        </w:tc>
      </w:tr>
      <w:tr>
        <w:tc>
          <w:tcPr>
            <w:tcW w:type="dxa" w:w="2736"/>
            <w:shd w:val="clear" w:fill="F4F6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0B1F3A"/>
                <w:sz w:val="18"/>
              </w:rPr>
              <w:t>Drift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How an entity's behavioral profile moves through the embedding space over time — speed, consistency, and direction.</w:t>
            </w:r>
          </w:p>
        </w:tc>
      </w:tr>
      <w:tr>
        <w:tc>
          <w:tcPr>
            <w:tcW w:type="dxa" w:w="2736"/>
            <w:shd w:val="clear" w:fill="F4F6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0B1F3A"/>
                <w:sz w:val="18"/>
              </w:rPr>
              <w:t>P10 / P50 / P90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Percentile estimates: demand stays under the P90 level 90% of the time. P50 is the median. The P10–P90 spread is the uncertainty band.</w:t>
            </w:r>
          </w:p>
        </w:tc>
      </w:tr>
      <w:tr>
        <w:tc>
          <w:tcPr>
            <w:tcW w:type="dxa" w:w="2736"/>
            <w:shd w:val="clear" w:fill="F4F6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0B1F3A"/>
                <w:sz w:val="18"/>
              </w:rPr>
              <w:t>Safety stock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Buffer inventory held so a part does not run out; sized here from the 8-week cumulative P90.</w:t>
            </w:r>
          </w:p>
        </w:tc>
      </w:tr>
      <w:tr>
        <w:tc>
          <w:tcPr>
            <w:tcW w:type="dxa" w:w="2736"/>
            <w:shd w:val="clear" w:fill="F4F6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0B1F3A"/>
                <w:sz w:val="18"/>
              </w:rPr>
              <w:t>Hurdle (two-stage) model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First predict whether any demand occurs, then how much if it does — the right structure for demand that is mostly zeros.</w:t>
            </w:r>
          </w:p>
        </w:tc>
      </w:tr>
      <w:tr>
        <w:tc>
          <w:tcPr>
            <w:tcW w:type="dxa" w:w="2736"/>
            <w:shd w:val="clear" w:fill="F4F6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0B1F3A"/>
                <w:sz w:val="18"/>
              </w:rPr>
              <w:t>Calibration / ECE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Whether stated probabilities match observed reality; ECE (Expected Calibration Error) measures the gap — lower is better.</w:t>
            </w:r>
          </w:p>
        </w:tc>
      </w:tr>
      <w:tr>
        <w:tc>
          <w:tcPr>
            <w:tcW w:type="dxa" w:w="2736"/>
            <w:shd w:val="clear" w:fill="F4F6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0B1F3A"/>
                <w:sz w:val="18"/>
              </w:rPr>
              <w:t>Brier score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A standard accuracy score for probability forecasts (0 is perfect, 1 is worst); lower is better.</w:t>
            </w:r>
          </w:p>
        </w:tc>
      </w:tr>
      <w:tr>
        <w:tc>
          <w:tcPr>
            <w:tcW w:type="dxa" w:w="2736"/>
            <w:shd w:val="clear" w:fill="F4F6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0B1F3A"/>
                <w:sz w:val="18"/>
              </w:rPr>
              <w:t>WAPE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Weighted Absolute Percentage Error — total forecast error divided by total actual demand; a point-accuracy metric.</w:t>
            </w:r>
          </w:p>
        </w:tc>
      </w:tr>
      <w:tr>
        <w:tc>
          <w:tcPr>
            <w:tcW w:type="dxa" w:w="2736"/>
            <w:shd w:val="clear" w:fill="F4F6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0B1F3A"/>
                <w:sz w:val="18"/>
              </w:rPr>
              <w:t>Cohort transfer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Borrowing demand patterns from behaviorally similar items to forecast a new or sparse item.</w:t>
            </w:r>
          </w:p>
        </w:tc>
      </w:tr>
      <w:tr>
        <w:tc>
          <w:tcPr>
            <w:tcW w:type="dxa" w:w="2736"/>
            <w:shd w:val="clear" w:fill="F4F6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0B1F3A"/>
                <w:sz w:val="18"/>
              </w:rPr>
              <w:t>Monte Carlo simulation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Running thousands of simulated futures to turn weekly estimates into a cumulative safety-stock target.</w:t>
            </w:r>
          </w:p>
        </w:tc>
      </w:tr>
      <w:tr>
        <w:tc>
          <w:tcPr>
            <w:tcW w:type="dxa" w:w="2736"/>
            <w:shd w:val="clear" w:fill="F4F6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0B1F3A"/>
                <w:sz w:val="18"/>
              </w:rPr>
              <w:t>Synthetic data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Simulated data built to prove the concept before access to real operational data.</w:t>
            </w:r>
          </w:p>
        </w:tc>
      </w:tr>
    </w:tbl>
    <w:p>
      <w:pPr>
        <w:spacing w:after="120"/>
      </w:pPr>
      <w:r>
        <w:rPr>
          <w:b w:val="0"/>
          <w:i w:val="0"/>
          <w:sz w:val="21"/>
        </w:rPr>
      </w:r>
    </w:p>
    <w:p>
      <w:pPr>
        <w:spacing w:after="120"/>
      </w:pPr>
      <w:r>
        <w:rPr>
          <w:b w:val="0"/>
          <w:i/>
          <w:color w:val="555F6B"/>
          <w:sz w:val="18"/>
        </w:rPr>
        <w:t>Business Edition — architecture-level disclosure. Exact model logic, formulas, thresholds, and adjustment parameters are proprietary and available in the full technical edition under NDA. All results are synthetic and must be re-validated on real DLA operational data. Do not redistribute.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