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Behavioral Entity Intelligence as the Zero Trust Behavioral Layer</w:t>
      </w:r>
    </w:p>
    <w:p/>
    <w:p/>
    <w:p>
      <w:pPr>
        <w:jc w:val="center"/>
      </w:pPr>
      <w:r>
        <w:rPr>
          <w:color w:val="444444"/>
          <w:sz w:val="24"/>
        </w:rPr>
        <w:t>22nd Century Technologies, Inc.</w:t>
        <w:br/>
        <w:t>V-Intelligence UEBA Program</w:t>
        <w:br/>
        <w:br/>
        <w:t>June 2026 — Innovation Brief, Version 1.0</w:t>
        <w:br/>
        <w:br/>
        <w:t>Prepared for: Defense Information Systems Agency — PEO for Cyber</w:t>
      </w:r>
    </w:p>
    <w:p/>
    <w:p/>
    <w:p>
      <w:pPr>
        <w:jc w:val="center"/>
        <w:shd w:fill="FBEEE6" w:val="clear"/>
      </w:pPr>
      <w:r>
        <w:rPr>
          <w:b/>
          <w:color w:val="C0392B"/>
          <w:sz w:val="20"/>
        </w:rPr>
        <w:t>DISTRIBUTION: Proprietary &amp; Technical — NDA Required, Do Not Distribute</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The DODIN serves millions of users. An adversary holding valid credentials can operate inside authorized boundaries indefinitely; perimeter and signature defenses cannot tell a legitimate administrator from one using stolen access to stage data.</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Zero Trust (NIST SP 800-207, OMB M-22-09) mandates continuous verification — and continuous verification requires continuous *behavioral* assessment. Our system provides exactly that: a per-entity behavioral score, with an explainable direction-of-drift, that feeds access decisions in near-real time.</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spacing w:after="120"/>
      </w:pPr>
      <w:r>
        <w:rPr>
          <w:b w:val="0"/>
          <w:i w:val="0"/>
          <w:color w:val="000000"/>
          <w:sz w:val="21"/>
        </w:rPr>
        <w:t>How it works: Each entity-period produces five signal sentences (authentication, privilege, data access, network, communication). Each is embedded independently in the same unified space; embeddings are cached and reused across the corpus.</w:t>
      </w:r>
    </w:p>
    <w:p>
      <w:pPr>
        <w:spacing w:after="120"/>
      </w:pPr>
      <w:r>
        <w:rPr>
          <w:b w:val="0"/>
          <w:i/>
          <w:color w:val="444444"/>
          <w:sz w:val="21"/>
        </w:rPr>
        <w:t>Exact formulation, parameters, and tuning for this component are given in Section 5 (Method Deep Dive).</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spacing w:after="120"/>
      </w:pPr>
      <w:r>
        <w:rPr>
          <w:b w:val="0"/>
          <w:i w:val="0"/>
          <w:color w:val="000000"/>
          <w:sz w:val="21"/>
        </w:rPr>
        <w:t>How it works: Zones for a user are identity, access pattern, data behavior, network footprint, and risk posture. Each carries its own embedding and its own drift series; the entity's overall state is a context-weighted combination of zone states, not a flat average.</w:t>
      </w:r>
    </w:p>
    <w:p>
      <w:pPr>
        <w:spacing w:after="120"/>
      </w:pPr>
      <w:r>
        <w:rPr>
          <w:b w:val="0"/>
          <w:i/>
          <w:color w:val="444444"/>
          <w:sz w:val="21"/>
        </w:rPr>
        <w:t>Exact formulation, parameters, and tuning for this component are given in Section 5 (Method Deep Dive).</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spacing w:after="120"/>
      </w:pPr>
      <w:r>
        <w:rPr>
          <w:b w:val="0"/>
          <w:i w:val="0"/>
          <w:color w:val="000000"/>
          <w:sz w:val="21"/>
        </w:rPr>
        <w:t>How it works: An attention mechanism applies a context-specific weighting across the five zones — for example, emphasizing network footprint and risk posture during APT hunting and data behavior during an insider investigation — without retraining.</w:t>
      </w:r>
    </w:p>
    <w:p>
      <w:pPr>
        <w:spacing w:after="120"/>
      </w:pPr>
      <w:r>
        <w:rPr>
          <w:b w:val="0"/>
          <w:i/>
          <w:color w:val="444444"/>
          <w:sz w:val="21"/>
        </w:rPr>
        <w:t>Exact formulation, parameters, and tuning for this component are given in Section 5 (Method Deep Dive).</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spacing w:after="120"/>
      </w:pPr>
      <w:r>
        <w:rPr>
          <w:b w:val="0"/>
          <w:i w:val="0"/>
          <w:color w:val="000000"/>
          <w:sz w:val="21"/>
        </w:rPr>
        <w:t>How it works: From the snapshot series we compute a phase-state vector per entity. Steady, consistent drift in a coherent direction separates a deliberate campaign from benign day-to-day variation that wanders without commitment.</w:t>
      </w:r>
    </w:p>
    <w:p>
      <w:pPr>
        <w:spacing w:after="120"/>
      </w:pPr>
      <w:r>
        <w:rPr>
          <w:b w:val="0"/>
          <w:i/>
          <w:color w:val="444444"/>
          <w:sz w:val="21"/>
        </w:rPr>
        <w:t>Exact formulation, parameters, and tuning for this component are given in Section 5 (Method Deep Dive).</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spacing w:after="120"/>
      </w:pPr>
      <w:r>
        <w:rPr>
          <w:b w:val="0"/>
          <w:i w:val="0"/>
          <w:color w:val="000000"/>
          <w:sz w:val="21"/>
        </w:rPr>
        <w:t>How it works: Reference concepts are embedded in the same space as entity behavior. Alignment between an entity's drift vector and a concept vector yields an interpretable, ranked explanation and the associated ATT&amp;CK tactic/technique IDs.</w:t>
      </w:r>
    </w:p>
    <w:p>
      <w:pPr>
        <w:spacing w:after="120"/>
      </w:pPr>
      <w:r>
        <w:rPr>
          <w:b w:val="0"/>
          <w:i/>
          <w:color w:val="444444"/>
          <w:sz w:val="21"/>
        </w:rPr>
        <w:t>Exact formulation, parameters, and tuning for this component are given in Section 5 (Method Deep Dive).</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spacing w:after="120"/>
      </w:pPr>
      <w:r>
        <w:rPr>
          <w:b w:val="0"/>
          <w:i w:val="0"/>
          <w:color w:val="000000"/>
          <w:sz w:val="21"/>
        </w:rPr>
        <w:t>How it works: Pairwise interactions are composed into relationship embeddings and tracked for drift alongside individual entities, enabling cohort and co-drift detection (botnet, worm, and supply-chain patterns where many entities move together).</w:t>
      </w:r>
    </w:p>
    <w:p>
      <w:pPr>
        <w:spacing w:after="120"/>
      </w:pPr>
      <w:r>
        <w:rPr>
          <w:b w:val="0"/>
          <w:i/>
          <w:color w:val="444444"/>
          <w:sz w:val="21"/>
        </w:rPr>
        <w:t>Exact formulation, parameters, and tuning for this component are given in Section 5 (Method Deep Dive).</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pPr>
        <w:spacing w:after="120"/>
      </w:pPr>
      <w:r>
        <w:rPr>
          <w:b w:val="0"/>
          <w:i w:val="0"/>
          <w:color w:val="000000"/>
          <w:sz w:val="21"/>
        </w:rPr>
        <w:t>How it works: Each phase contributes a normalized sub-score; peer comparison is done within role cohorts (admin, security, developer, business, executive). Novelty persistence is the phase that catches the slowest APTs, which are quiet on every other axis.</w:t>
      </w:r>
    </w:p>
    <w:p>
      <w:pPr>
        <w:spacing w:after="120"/>
      </w:pPr>
      <w:r>
        <w:rPr>
          <w:b w:val="0"/>
          <w:i/>
          <w:color w:val="444444"/>
          <w:sz w:val="21"/>
        </w:rPr>
        <w:t>Exact formulation, parameters, and tuning for this component are given in Section 5 (Method Deep Dive).</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pPr>
        <w:pStyle w:val="Heading2"/>
      </w:pPr>
      <w:r>
        <w:rPr>
          <w:color w:val="1B4F72"/>
        </w:rPr>
        <w:t>3.2  Feature CUSUM vs. V-Intelligence Semantic CUSUM</w:t>
      </w:r>
    </w:p>
    <w:p>
      <w:pPr>
        <w:spacing w:after="120"/>
      </w:pPr>
      <w:r>
        <w:rPr>
          <w:b w:val="0"/>
          <w:i w:val="0"/>
          <w:color w:val="000000"/>
          <w:sz w:val="21"/>
        </w:rPr>
        <w:t>Both pipelines use the same change-point engine (CUSUM) to accumulate small drifts that no single week would trip. They differ only in what they accumulate drift over — raw feature distance, or semantic distance between behavior embeddings.</w:t>
      </w:r>
    </w:p>
    <w:p>
      <w:pPr>
        <w:spacing w:before="80" w:after="80"/>
        <w:ind w:left="360"/>
      </w:pPr>
      <w:r>
        <w:rPr>
          <w:rFonts w:ascii="Consolas" w:hAnsi="Consolas"/>
          <w:color w:val="333333"/>
          <w:sz w:val="18"/>
        </w:rPr>
        <w:t>Feature-Space CUSUM (traditional):</w:t>
        <w:br/>
        <w:t xml:space="preserve">   weekly features  -&gt;  v = [auth_total, ..., dns_nxdomain_ratio]</w:t>
        <w:br/>
        <w:t xml:space="preserve">      -&gt;  || v_t2 - v_t1 ||   (numeric distance)</w:t>
        <w:br/>
        <w:t xml:space="preserve">         -&gt;  CUSUM accumulation  -&gt;  threshold</w:t>
        <w:br/>
        <w:t xml:space="preserve">   Result: attackers stay inside the normal band  -&gt;  no directional separation</w:t>
        <w:br/>
        <w:br/>
        <w:t>V-Intelligence Semantic CUSUM:</w:t>
        <w:br/>
        <w:t xml:space="preserve">   weekly features  -&gt;  prose description  -&gt;  1536-d behavior embedding</w:t>
        <w:br/>
        <w:t xml:space="preserve">      -&gt;  cosine distance between weekly embeddings</w:t>
        <w:br/>
        <w:t xml:space="preserve">         -&gt;  CUSUM accumulation  -&gt;  threshold</w:t>
        <w:br/>
        <w:t xml:space="preserve">   Result: all attackers break above the normal band  -&gt;  4 of 4 detected</w:t>
      </w:r>
    </w:p>
    <w:p>
      <w:pPr>
        <w:spacing w:after="120"/>
      </w:pPr>
      <w:r>
        <w:rPr>
          <w:b w:val="0"/>
          <w:i w:val="0"/>
          <w:color w:val="000000"/>
          <w:sz w:val="21"/>
        </w:rPr>
        <w:t>The only added step is serializing each week's behavior into prose before embedding. That single step is what lets the change-point engine accumulate drift in the KIND of behavior rather than the QUANTITY of it — and it is the difference between catching the insider and missing it.</w:t>
      </w:r>
    </w:p>
    <w:p>
      <w:pPr>
        <w:spacing w:after="40"/>
      </w:pPr>
      <w:r>
        <w:rPr>
          <w:b/>
          <w:i w:val="0"/>
          <w:color w:val="000000"/>
          <w:sz w:val="21"/>
        </w:rPr>
        <w:t>Why raw feature distance misses it — three structural reasons:</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pPr>
        <w:pStyle w:val="ListBullet"/>
        <w:ind w:left="360"/>
      </w:pPr>
      <w:r>
        <w:rPr>
          <w:b/>
          <w:sz w:val="21"/>
        </w:rPr>
        <w:t xml:space="preserve">No cross-signal pattern: </w:t>
      </w:r>
      <w:r>
        <w:rPr>
          <w:sz w:val="21"/>
        </w:rPr>
        <w:t>each feature is treated as an independent axis, so "off-hours access + restricted files + high clearance" is never read as one combined pattern — yet that combination is the threat.</w:t>
      </w:r>
    </w:p>
    <w:p>
      <w:pPr>
        <w:pStyle w:val="ListBullet"/>
        <w:ind w:left="360"/>
      </w:pPr>
      <w:r>
        <w:rPr>
          <w:b/>
          <w:sz w:val="21"/>
        </w:rPr>
        <w:t xml:space="preserve">"What" vs "how much": </w:t>
      </w:r>
      <w:r>
        <w:rPr>
          <w:sz w:val="21"/>
        </w:rPr>
        <w:t>the same count of a different kind of thing is zero distance numerically, but a different meaning semantically.</w:t>
      </w:r>
    </w:p>
    <w:p>
      <w:pPr>
        <w:spacing w:after="120"/>
      </w:pPr>
      <w:r>
        <w:rPr>
          <w:b w:val="0"/>
          <w:i/>
          <w:color w:val="444444"/>
          <w:sz w:val="21"/>
        </w:rPr>
        <w:t>The complementary design — raw features for numeric precision on volume spikes, embeddings for semantic shifts at constant volume, fused by the composite scorer — is detailed in Section 5 (Method Deep Dive).</w:t>
      </w:r>
    </w:p>
    <w:p>
      <w:r>
        <w:br w:type="page"/>
      </w:r>
    </w:p>
    <w:p>
      <w:pPr>
        <w:pStyle w:val="Heading1"/>
      </w:pPr>
      <w:r>
        <w:rPr>
          <w:color w:val="0D1B2A"/>
        </w:rPr>
        <w:t>4. System Architecture</w:t>
      </w:r>
    </w:p>
    <w:p>
      <w:pPr>
        <w:spacing w:after="120"/>
      </w:pPr>
      <w:r>
        <w:rPr>
          <w:b w:val="0"/>
          <w:i w:val="0"/>
          <w:color w:val="000000"/>
          <w:sz w:val="21"/>
        </w:rPr>
        <w:t>The platform is a streaming behavioral pipeline. Telemetry is ingested daily, aggregated into per-entity features, serialized to language, embedded, decomposed into zones, and tracked as trajectories. Detection runs continuously on the trajectory store and emits ranked, explained, ATT&amp;CK-mapped verdicts.</w:t>
      </w:r>
    </w:p>
    <w:p>
      <w:pPr>
        <w:spacing w:before="80" w:after="80"/>
        <w:ind w:left="360"/>
      </w:pPr>
      <w:r>
        <w:rPr>
          <w:rFonts w:ascii="Consolas" w:hAnsi="Consolas"/>
          <w:color w:val="333333"/>
          <w:sz w:val="18"/>
        </w:rPr>
        <w:t xml:space="preserve">  Telemetry (auth, network, DNS, endpoint, file, app, privilege)</w:t>
        <w:br/>
        <w:t xml:space="preserve">        |</w:t>
        <w:br/>
        <w:t xml:space="preserve">        v</w:t>
        <w:br/>
        <w:t xml:space="preserve">  [1] Daily feature aggregation  --&gt;  per-entity quantitative features</w:t>
        <w:br/>
        <w:t xml:space="preserve">        |</w:t>
        <w:br/>
        <w:t xml:space="preserve">        v</w:t>
        <w:br/>
        <w:t xml:space="preserve">  [2] Text serialization         --&gt;  five signal sentences per entity</w:t>
        <w:br/>
        <w:t xml:space="preserve">        |</w:t>
        <w:br/>
        <w:t xml:space="preserve">        v</w:t>
        <w:br/>
        <w:t xml:space="preserve">  [3] Embedding (unified 1536-d) --&gt;  cached semantic vectors</w:t>
        <w:br/>
        <w:t xml:space="preserve">        |</w:t>
        <w:br/>
        <w:t xml:space="preserve">        v</w:t>
        <w:br/>
        <w:t xml:space="preserve">  [4] Zone decomposition         --&gt;  5 zone embeddings + composite</w:t>
        <w:br/>
        <w:t xml:space="preserve">        |</w:t>
        <w:br/>
        <w:t xml:space="preserve">        v</w:t>
        <w:br/>
        <w:t xml:space="preserve">  [5] Trajectory + phase state   --&gt;  velocity / accel / regime / drift</w:t>
        <w:br/>
        <w:t xml:space="preserve">        |</w:t>
        <w:br/>
        <w:t xml:space="preserve">        v</w:t>
        <w:br/>
        <w:t xml:space="preserve">  [6] Detection:</w:t>
        <w:br/>
        <w:t xml:space="preserve">        - CUSUM change-point (slow drift below per-period thresholds)</w:t>
        <w:br/>
        <w:t xml:space="preserve">        - Drift-direction projection onto reference concepts (MITRE)</w:t>
        <w:br/>
        <w:t xml:space="preserve">        - Cohort / co-drift clustering</w:t>
        <w:br/>
        <w:t xml:space="preserve">        - Multi-phase composite scoring + novelty persistence</w:t>
        <w:br/>
        <w:t xml:space="preserve">        |</w:t>
        <w:br/>
        <w:t xml:space="preserve">        v</w:t>
        <w:br/>
        <w:t xml:space="preserve">  [7] Ranked verdict: alert + kill-chain narrative + ATT&amp;CK techniques</w:t>
      </w:r>
    </w:p>
    <w:p>
      <w:pPr>
        <w:pStyle w:val="Heading2"/>
      </w:pPr>
      <w:r>
        <w:rPr>
          <w:color w:val="1B4F72"/>
        </w:rPr>
        <w:t>4.1  The Five Behavioral Zones (User Entity)</w:t>
      </w:r>
    </w:p>
    <w:tbl>
      <w:tblPr>
        <w:tblStyle w:val="LightGrid-Accent1"/>
        <w:tblW w:type="auto" w:w="0"/>
        <w:jc w:val="center"/>
        <w:tblLook w:firstColumn="1" w:firstRow="1" w:lastColumn="0" w:lastRow="0" w:noHBand="0" w:noVBand="1" w:val="04A0"/>
      </w:tblPr>
      <w:tblGrid>
        <w:gridCol w:w="4703"/>
        <w:gridCol w:w="4703"/>
      </w:tblGrid>
      <w:tr>
        <w:tc>
          <w:tcPr>
            <w:tcW w:type="dxa" w:w="2304"/>
            <w:shd w:fill="0D1B2A"/>
          </w:tcPr>
          <w:p>
            <w:pPr>
              <w:jc w:val="center"/>
            </w:pPr>
            <w:r>
              <w:rPr>
                <w:b/>
                <w:color w:val="FFFFFF"/>
                <w:sz w:val="18"/>
              </w:rPr>
              <w:t>Zone</w:t>
            </w:r>
          </w:p>
        </w:tc>
        <w:tc>
          <w:tcPr>
            <w:tcW w:type="dxa" w:w="7056"/>
            <w:shd w:fill="0D1B2A"/>
          </w:tcPr>
          <w:p>
            <w:pPr>
              <w:jc w:val="center"/>
            </w:pPr>
            <w:r>
              <w:rPr>
                <w:b/>
                <w:color w:val="FFFFFF"/>
                <w:sz w:val="18"/>
              </w:rPr>
              <w:t>What it captures</w:t>
            </w:r>
          </w:p>
        </w:tc>
      </w:tr>
      <w:tr>
        <w:tc>
          <w:tcPr>
            <w:tcW w:type="dxa" w:w="2304"/>
          </w:tcPr>
          <w:p>
            <w:r>
              <w:rPr>
                <w:sz w:val="18"/>
              </w:rPr>
              <w:t>Identity</w:t>
            </w:r>
          </w:p>
        </w:tc>
        <w:tc>
          <w:tcPr>
            <w:tcW w:type="dxa" w:w="7056"/>
          </w:tcPr>
          <w:p>
            <w:r>
              <w:rPr>
                <w:sz w:val="18"/>
              </w:rPr>
              <w:t>Role, department, clearance, tenure — who the entity is supposed to be.</w:t>
            </w:r>
          </w:p>
        </w:tc>
      </w:tr>
      <w:tr>
        <w:tc>
          <w:tcPr>
            <w:tcW w:type="dxa" w:w="2304"/>
            <w:shd w:fill="EAF0F6"/>
          </w:tcPr>
          <w:p>
            <w:r>
              <w:rPr>
                <w:sz w:val="18"/>
              </w:rPr>
              <w:t>Access Pattern</w:t>
            </w:r>
          </w:p>
        </w:tc>
        <w:tc>
          <w:tcPr>
            <w:tcW w:type="dxa" w:w="7056"/>
            <w:shd w:fill="EAF0F6"/>
          </w:tcPr>
          <w:p>
            <w:r>
              <w:rPr>
                <w:sz w:val="18"/>
              </w:rPr>
              <w:t>Authentication behavior, off-hours activity, source/destination spread.</w:t>
            </w:r>
          </w:p>
        </w:tc>
      </w:tr>
      <w:tr>
        <w:tc>
          <w:tcPr>
            <w:tcW w:type="dxa" w:w="2304"/>
          </w:tcPr>
          <w:p>
            <w:r>
              <w:rPr>
                <w:sz w:val="18"/>
              </w:rPr>
              <w:t>Data Behavior</w:t>
            </w:r>
          </w:p>
        </w:tc>
        <w:tc>
          <w:tcPr>
            <w:tcW w:type="dxa" w:w="7056"/>
          </w:tcPr>
          <w:p>
            <w:r>
              <w:rPr>
                <w:sz w:val="18"/>
              </w:rPr>
              <w:t>Files touched, restricted/confidential ratios, read vs. write balance.</w:t>
            </w:r>
          </w:p>
        </w:tc>
      </w:tr>
      <w:tr>
        <w:tc>
          <w:tcPr>
            <w:tcW w:type="dxa" w:w="2304"/>
            <w:shd w:fill="EAF0F6"/>
          </w:tcPr>
          <w:p>
            <w:r>
              <w:rPr>
                <w:sz w:val="18"/>
              </w:rPr>
              <w:t>Network Footprint</w:t>
            </w:r>
          </w:p>
        </w:tc>
        <w:tc>
          <w:tcPr>
            <w:tcW w:type="dxa" w:w="7056"/>
            <w:shd w:fill="EAF0F6"/>
          </w:tcPr>
          <w:p>
            <w:r>
              <w:rPr>
                <w:sz w:val="18"/>
              </w:rPr>
              <w:t>Bytes out, external ratio, unique destinations and DNS domains.</w:t>
            </w:r>
          </w:p>
        </w:tc>
      </w:tr>
      <w:tr>
        <w:tc>
          <w:tcPr>
            <w:tcW w:type="dxa" w:w="2304"/>
          </w:tcPr>
          <w:p>
            <w:r>
              <w:rPr>
                <w:sz w:val="18"/>
              </w:rPr>
              <w:t>Risk Posture</w:t>
            </w:r>
          </w:p>
        </w:tc>
        <w:tc>
          <w:tcPr>
            <w:tcW w:type="dxa" w:w="7056"/>
          </w:tcPr>
          <w:p>
            <w:r>
              <w:rPr>
                <w:sz w:val="18"/>
              </w:rPr>
              <w:t>Endpoint risk indicators, suspicious-process and failed-resolution rates.</w:t>
            </w:r>
          </w:p>
        </w:tc>
      </w:tr>
    </w:tbl>
    <w:p/>
    <w:p>
      <w:pPr>
        <w:spacing w:after="120"/>
      </w:pPr>
      <w:r>
        <w:rPr>
          <w:b w:val="0"/>
          <w:i w:val="0"/>
          <w:color w:val="000000"/>
          <w:sz w:val="21"/>
        </w:rPr>
        <w:t>A C2-beaconing compromise drifts Network Footprint and Risk Posture while Identity and Data Behavior stay flat. An insider drifts Data Behavior while everything else stays flat. Zone decomposition is what lets a single platform catch both without one diluting the other.</w:t>
      </w:r>
    </w:p>
    <w:p>
      <w:pPr>
        <w:pStyle w:val="Heading2"/>
      </w:pPr>
      <w:r>
        <w:rPr>
          <w:color w:val="1B4F72"/>
        </w:rPr>
        <w:t>4.2  Platform Components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Layer</w:t>
            </w:r>
          </w:p>
        </w:tc>
        <w:tc>
          <w:tcPr>
            <w:tcW w:type="dxa" w:w="3888"/>
            <w:shd w:fill="0D1B2A"/>
          </w:tcPr>
          <w:p>
            <w:pPr>
              <w:jc w:val="center"/>
            </w:pPr>
            <w:r>
              <w:rPr>
                <w:b/>
                <w:color w:val="FFFFFF"/>
                <w:sz w:val="18"/>
              </w:rPr>
              <w:t>Technology</w:t>
            </w:r>
          </w:p>
        </w:tc>
        <w:tc>
          <w:tcPr>
            <w:tcW w:type="dxa" w:w="3456"/>
            <w:shd w:fill="0D1B2A"/>
          </w:tcPr>
          <w:p>
            <w:pPr>
              <w:jc w:val="center"/>
            </w:pPr>
            <w:r>
              <w:rPr>
                <w:b/>
                <w:color w:val="FFFFFF"/>
                <w:sz w:val="18"/>
              </w:rPr>
              <w:t>Role</w:t>
            </w:r>
          </w:p>
        </w:tc>
      </w:tr>
      <w:tr>
        <w:tc>
          <w:tcPr>
            <w:tcW w:type="dxa" w:w="2016"/>
          </w:tcPr>
          <w:p>
            <w:r>
              <w:rPr>
                <w:sz w:val="18"/>
              </w:rPr>
              <w:t>Embedding</w:t>
            </w:r>
          </w:p>
        </w:tc>
        <w:tc>
          <w:tcPr>
            <w:tcW w:type="dxa" w:w="3888"/>
          </w:tcPr>
          <w:p>
            <w:r>
              <w:rPr>
                <w:sz w:val="18"/>
              </w:rPr>
              <w:t>OpenAI text-embedding-3-small (1536-d), cached</w:t>
            </w:r>
          </w:p>
        </w:tc>
        <w:tc>
          <w:tcPr>
            <w:tcW w:type="dxa" w:w="3456"/>
          </w:tcPr>
          <w:p>
            <w:r>
              <w:rPr>
                <w:sz w:val="18"/>
              </w:rPr>
              <w:t>Semantic representation of behavior</w:t>
            </w:r>
          </w:p>
        </w:tc>
      </w:tr>
      <w:tr>
        <w:tc>
          <w:tcPr>
            <w:tcW w:type="dxa" w:w="2016"/>
            <w:shd w:fill="EAF0F6"/>
          </w:tcPr>
          <w:p>
            <w:r>
              <w:rPr>
                <w:sz w:val="18"/>
              </w:rPr>
              <w:t>Store</w:t>
            </w:r>
          </w:p>
        </w:tc>
        <w:tc>
          <w:tcPr>
            <w:tcW w:type="dxa" w:w="3888"/>
            <w:shd w:fill="EAF0F6"/>
          </w:tcPr>
          <w:p>
            <w:r>
              <w:rPr>
                <w:sz w:val="18"/>
              </w:rPr>
              <w:t>PostgreSQL + pgvector, temporal (SCD2)</w:t>
            </w:r>
          </w:p>
        </w:tc>
        <w:tc>
          <w:tcPr>
            <w:tcW w:type="dxa" w:w="3456"/>
            <w:shd w:fill="EAF0F6"/>
          </w:tcPr>
          <w:p>
            <w:r>
              <w:rPr>
                <w:sz w:val="18"/>
              </w:rPr>
              <w:t>Versioned snapshots &amp; trajectories</w:t>
            </w:r>
          </w:p>
        </w:tc>
      </w:tr>
      <w:tr>
        <w:tc>
          <w:tcPr>
            <w:tcW w:type="dxa" w:w="2016"/>
          </w:tcPr>
          <w:p>
            <w:r>
              <w:rPr>
                <w:sz w:val="18"/>
              </w:rPr>
              <w:t>Detection</w:t>
            </w:r>
          </w:p>
        </w:tc>
        <w:tc>
          <w:tcPr>
            <w:tcW w:type="dxa" w:w="3888"/>
          </w:tcPr>
          <w:p>
            <w:r>
              <w:rPr>
                <w:sz w:val="18"/>
              </w:rPr>
              <w:t>CUSUM, drift projection, composite scorer</w:t>
            </w:r>
          </w:p>
        </w:tc>
        <w:tc>
          <w:tcPr>
            <w:tcW w:type="dxa" w:w="3456"/>
          </w:tcPr>
          <w:p>
            <w:r>
              <w:rPr>
                <w:sz w:val="18"/>
              </w:rPr>
              <w:t>Ranked, explained verdicts</w:t>
            </w:r>
          </w:p>
        </w:tc>
      </w:tr>
      <w:tr>
        <w:tc>
          <w:tcPr>
            <w:tcW w:type="dxa" w:w="2016"/>
            <w:shd w:fill="EAF0F6"/>
          </w:tcPr>
          <w:p>
            <w:r>
              <w:rPr>
                <w:sz w:val="18"/>
              </w:rPr>
              <w:t>Serving</w:t>
            </w:r>
          </w:p>
        </w:tc>
        <w:tc>
          <w:tcPr>
            <w:tcW w:type="dxa" w:w="3888"/>
            <w:shd w:fill="EAF0F6"/>
          </w:tcPr>
          <w:p>
            <w:r>
              <w:rPr>
                <w:sz w:val="18"/>
              </w:rPr>
              <w:t>FastAPI</w:t>
            </w:r>
          </w:p>
        </w:tc>
        <w:tc>
          <w:tcPr>
            <w:tcW w:type="dxa" w:w="3456"/>
            <w:shd w:fill="EAF0F6"/>
          </w:tcPr>
          <w:p>
            <w:r>
              <w:rPr>
                <w:sz w:val="18"/>
              </w:rPr>
              <w:t>Entity, trajectory, detection, tier APIs</w:t>
            </w:r>
          </w:p>
        </w:tc>
      </w:tr>
      <w:tr>
        <w:tc>
          <w:tcPr>
            <w:tcW w:type="dxa" w:w="2016"/>
          </w:tcPr>
          <w:p>
            <w:r>
              <w:rPr>
                <w:sz w:val="18"/>
              </w:rPr>
              <w:t>Deployment</w:t>
            </w:r>
          </w:p>
        </w:tc>
        <w:tc>
          <w:tcPr>
            <w:tcW w:type="dxa" w:w="3888"/>
          </w:tcPr>
          <w:p>
            <w:r>
              <w:rPr>
                <w:sz w:val="18"/>
              </w:rPr>
              <w:t>Docker (portable, on-prem capable)</w:t>
            </w:r>
          </w:p>
        </w:tc>
        <w:tc>
          <w:tcPr>
            <w:tcW w:type="dxa" w:w="3456"/>
          </w:tcPr>
          <w:p>
            <w:r>
              <w:rPr>
                <w:sz w:val="18"/>
              </w:rPr>
              <w:t>Air-gap / enclave friendly</w:t>
            </w:r>
          </w:p>
        </w:tc>
      </w:tr>
    </w:tbl>
    <w:p/>
    <w:p>
      <w:r>
        <w:br w:type="page"/>
      </w:r>
    </w:p>
    <w:p>
      <w:pPr>
        <w:pStyle w:val="Heading1"/>
      </w:pPr>
      <w:r>
        <w:rPr>
          <w:color w:val="0D1B2A"/>
        </w:rPr>
        <w:t>5. Method Deep Dive (Proprietary)</w:t>
      </w:r>
    </w:p>
    <w:p>
      <w:pPr>
        <w:pBdr>
          <w:left w:val="single" w:sz="24" w:space="12" w:color="C0392B"/>
        </w:pBdr>
        <w:shd w:fill="FBEEE6" w:val="clear"/>
        <w:spacing w:before="160" w:after="160"/>
      </w:pPr>
      <w:r>
        <w:rPr>
          <w:b/>
          <w:color w:val="0D1B2A"/>
          <w:sz w:val="21"/>
        </w:rPr>
        <w:t>This section is included only in the NDA / technical-exchange edition. It contains proprietary formulations. Treat as Business Sensitive — do not distribute.</w:t>
      </w:r>
    </w:p>
    <w:p>
      <w:pPr>
        <w:pStyle w:val="Heading2"/>
      </w:pPr>
      <w:r>
        <w:rPr>
          <w:color w:val="1B4F72"/>
        </w:rPr>
        <w:t>5.1  Signal Composition</w:t>
      </w:r>
    </w:p>
    <w:p>
      <w:pPr>
        <w:spacing w:after="120"/>
      </w:pPr>
      <w:r>
        <w:rPr>
          <w:b w:val="0"/>
          <w:i w:val="0"/>
          <w:color w:val="000000"/>
          <w:sz w:val="21"/>
        </w:rPr>
        <w:t>An entity's composite embedding is a weighted average of its five signal embeddings (weighted average, not concatenation — preserving the unified 1536-d geometry):</w:t>
      </w:r>
    </w:p>
    <w:p>
      <w:pPr>
        <w:spacing w:before="80" w:after="80"/>
        <w:ind w:left="360"/>
      </w:pPr>
      <w:r>
        <w:rPr>
          <w:rFonts w:ascii="Consolas" w:hAnsi="Consolas"/>
          <w:color w:val="333333"/>
          <w:sz w:val="18"/>
        </w:rPr>
        <w:t>composite = normalize( Σ_i  w_i · embed(signal_i) )</w:t>
        <w:br/>
        <w:br/>
        <w:t>user signal weights (illustrative, tuned per deployment):</w:t>
        <w:br/>
        <w:t xml:space="preserve">  auth = 0.25,  privilege = 0.20,  data_access = 0.20,</w:t>
        <w:br/>
        <w:t xml:space="preserve">  network = 0.20,  communication = 0.15</w:t>
      </w:r>
    </w:p>
    <w:p>
      <w:pPr>
        <w:pStyle w:val="Heading2"/>
      </w:pPr>
      <w:r>
        <w:rPr>
          <w:color w:val="1B4F72"/>
        </w:rPr>
        <w:t>5.2  Drift Vector and Direction</w:t>
      </w:r>
    </w:p>
    <w:p>
      <w:pPr>
        <w:spacing w:before="80" w:after="80"/>
        <w:ind w:left="360"/>
      </w:pPr>
      <w:r>
        <w:rPr>
          <w:rFonts w:ascii="Consolas" w:hAnsi="Consolas"/>
          <w:color w:val="333333"/>
          <w:sz w:val="18"/>
        </w:rPr>
        <w:t>drift_vector = V(t2) - V(t1)</w:t>
        <w:br/>
        <w:t>alignment(concept) = cos( drift_vector, embed(concept) )</w:t>
        <w:br/>
        <w:t>report concepts ranked by alignment; map top concepts -&gt; MITRE ATT&amp;CK</w:t>
      </w:r>
    </w:p>
    <w:p>
      <w:pPr>
        <w:pStyle w:val="Heading2"/>
      </w:pPr>
      <w:r>
        <w:rPr>
          <w:color w:val="1B4F72"/>
        </w:rPr>
        <w:t>5.3  CUSUM Change-Point on Drift</w:t>
      </w:r>
    </w:p>
    <w:p>
      <w:pPr>
        <w:spacing w:after="120"/>
      </w:pPr>
      <w:r>
        <w:rPr>
          <w:b w:val="0"/>
          <w:i w:val="0"/>
          <w:color w:val="000000"/>
          <w:sz w:val="21"/>
        </w:rPr>
        <w:t>Per-period drift below an alert threshold still accumulates. CUSUM sums the above-slack excess and fires when the cumulative sum crosses a decision interval — catching, e.g., 0.02/period sustained over six periods that no single-period threshold would flag.</w:t>
      </w:r>
    </w:p>
    <w:p>
      <w:pPr>
        <w:spacing w:before="80" w:after="80"/>
        <w:ind w:left="360"/>
      </w:pPr>
      <w:r>
        <w:rPr>
          <w:rFonts w:ascii="Consolas" w:hAnsi="Consolas"/>
          <w:color w:val="333333"/>
          <w:sz w:val="18"/>
        </w:rPr>
        <w:t>S_0 = 0</w:t>
        <w:br/>
        <w:t>S_t = max(0, S_{t-1} + (d_t - k))      # k = slack (allowable drift)</w:t>
        <w:br/>
        <w:t>alarm when S_t &gt; h                      # h = decision interval</w:t>
        <w:br/>
        <w:t>change_point = argmin index where S began its sustained rise</w:t>
      </w:r>
    </w:p>
    <w:p>
      <w:pPr>
        <w:pStyle w:val="Heading2"/>
      </w:pPr>
      <w:r>
        <w:rPr>
          <w:color w:val="1B4F72"/>
        </w:rPr>
        <w:t>5.4  Multi-Phase Composite Score</w:t>
      </w:r>
    </w:p>
    <w:p>
      <w:pPr>
        <w:spacing w:after="120"/>
      </w:pPr>
      <w:r>
        <w:rPr>
          <w:b w:val="0"/>
          <w:i w:val="0"/>
          <w:color w:val="000000"/>
          <w:sz w:val="21"/>
        </w:rPr>
        <w:t>The composite fuses five normalized phases. Peer divergence is computed within role cohorts so an administrator is compared to administrators, not to accountants.</w:t>
      </w:r>
    </w:p>
    <w:p>
      <w:pPr>
        <w:spacing w:before="80" w:after="80"/>
        <w:ind w:left="360"/>
      </w:pPr>
      <w:r>
        <w:rPr>
          <w:rFonts w:ascii="Consolas" w:hAnsi="Consolas"/>
          <w:color w:val="333333"/>
          <w:sz w:val="18"/>
        </w:rPr>
        <w:t>composite = f( signal_strength,        # peak sustained zone deviation</w:t>
        <w:br/>
        <w:t xml:space="preserve">               breadth,                # # zones simultaneously drifting</w:t>
        <w:br/>
        <w:t xml:space="preserve">               sustained_signal,       # half-period mean deviation</w:t>
        <w:br/>
        <w:t xml:space="preserve">               context_divergence,     # peer z-score within role cohort</w:t>
        <w:br/>
        <w:t xml:space="preserve">               novelty_persistence )   # recurring unseen infrastructure</w:t>
        <w:br/>
        <w:br/>
        <w:t>phase weights and cohort normalization are deployment-tuned.</w:t>
      </w:r>
    </w:p>
    <w:p>
      <w:pPr>
        <w:shd w:fill="FBEEE6" w:val="clear"/>
        <w:spacing w:before="80" w:after="120"/>
      </w:pPr>
      <w:r>
        <w:rPr>
          <w:b/>
          <w:color w:val="C0392B"/>
          <w:sz w:val="19"/>
        </w:rPr>
        <w:t xml:space="preserve">⟦ WITHHELD ⟧  </w:t>
      </w:r>
      <w:r>
        <w:rPr>
          <w:i/>
          <w:color w:val="444444"/>
          <w:sz w:val="19"/>
        </w:rPr>
        <w:t>Production weight values, slack/decision-interval settings, and the novelty-persistence window are environment-specific and tuned during deployment. Exact formulation, parameters, and tuning are proprietary and are disclosed only in the NDA / technical-exchange edition of this paper.</w:t>
      </w:r>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Traditional Traditional magnitude-based detectors can flag anomalies but provide no directional intelligence to distinguish threat type or guide analyst triage.</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r>
        <w:br w:type="page"/>
      </w:r>
    </w:p>
    <w:p>
      <w:pPr>
        <w:pStyle w:val="Heading1"/>
      </w:pPr>
      <w:r>
        <w:rPr>
          <w:color w:val="0D1B2A"/>
        </w:rPr>
        <w:t>7. What This Enables for Your Mission</w:t>
      </w:r>
    </w:p>
    <w:p>
      <w:pPr>
        <w:spacing w:after="120"/>
      </w:pPr>
      <w:r>
        <w:rPr>
          <w:b w:val="0"/>
          <w:i w:val="0"/>
          <w:color w:val="000000"/>
          <w:sz w:val="21"/>
        </w:rPr>
        <w:t>Zero Trust (NIST SP 800-207, OMB M-22-09) mandates continuous verification — and continuous verification requires continuous *behavioral* assessment. Our system provides exactly that: a per-entity behavioral score, with an explainable direction-of-drift, that feeds access decisions in near-real time.</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This edition contains proprietary formulations and is provided under NDA. Do not redistribute.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