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Behavioral Entity Intelligence as the Zero Trust Behavioral Layer</w:t>
      </w:r>
    </w:p>
    <w:p/>
    <w:p/>
    <w:p>
      <w:pPr>
        <w:jc w:val="center"/>
      </w:pPr>
      <w:r>
        <w:rPr>
          <w:color w:val="444444"/>
          <w:sz w:val="24"/>
        </w:rPr>
        <w:t>22nd Century Technologies, Inc.</w:t>
        <w:br/>
        <w:t>V-Intelligence UEBA Program</w:t>
        <w:br/>
        <w:br/>
        <w:t>June 2026 — Innovation Brief, Version 1.0</w:t>
        <w:br/>
        <w:br/>
        <w:t>Prepared for: Defense Information Systems Agency — PEO for Cyber</w:t>
      </w:r>
    </w:p>
    <w:p/>
    <w:p/>
    <w:p>
      <w:pPr>
        <w:jc w:val="center"/>
        <w:shd w:fill="E8F3EC" w:val="clear"/>
      </w:pPr>
      <w:r>
        <w:rPr>
          <w:b/>
          <w:color w:val="1E8A49"/>
          <w:sz w:val="20"/>
        </w:rPr>
        <w:t>DISTRIBUTION: Conceptual Overview — Cleared for General Distribution</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The DODIN serves millions of users. An adversary holding valid credentials can operate inside authorized boundaries indefinitely; perimeter and signature defenses cannot tell a legitimate administrator from one using stolen access to stage data.</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Zero Trust (NIST SP 800-207, OMB M-22-09) mandates continuous verification — and continuous verification requires continuous *behavioral* assessment. Our system provides exactly that: a per-entity behavioral score, with an explainable direction-of-drift, that feeds access decisions in near-real time.</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8.1% false-positive rate (20 of 246 normal entities at the recall-at-100% operating point).</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51.3</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19.4</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#24 of 250</w:t>
            </w:r>
          </w:p>
        </w:tc>
        <w:tc>
          <w:tcPr>
            <w:tcW w:type="dxa" w:w="1440"/>
            <w:shd w:fill="EAF0F6"/>
          </w:tcPr>
          <w:p>
            <w:r>
              <w:rPr>
                <w:sz w:val="18"/>
              </w:rPr>
              <w:t>13.7</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8.1% false-positive rate (20 of 246 normal entities at the recall-at-100% operating point). Traditional Traditional magnitude-based detectors can flag anomalies but provide no directional intelligence to distinguish threat type or guide analyst triage.</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r>
        <w:br w:type="page"/>
      </w:r>
    </w:p>
    <w:p>
      <w:pPr>
        <w:pStyle w:val="Heading1"/>
      </w:pPr>
      <w:r>
        <w:rPr>
          <w:color w:val="0D1B2A"/>
        </w:rPr>
        <w:t>7. What This Enables for Your Mission</w:t>
      </w:r>
    </w:p>
    <w:p>
      <w:pPr>
        <w:spacing w:after="120"/>
      </w:pPr>
      <w:r>
        <w:rPr>
          <w:b w:val="0"/>
          <w:i w:val="0"/>
          <w:color w:val="000000"/>
          <w:sz w:val="21"/>
        </w:rPr>
        <w:t>Zero Trust (NIST SP 800-207, OMB M-22-09) mandates continuous verification — and continuous verification requires continuous *behavioral* assessment. Our system provides exactly that: a per-entity behavioral score, with an explainable direction-of-drift, that feeds access decisions in near-real time.</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This is a conceptual overview. Architectural detail, the system design, and empirical method are available in the Architectural and NDA editions of this paper on request.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