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Behavioral Entity Intelligence for Supply Chain and Logistics Network Defense</w:t>
      </w:r>
    </w:p>
    <w:p/>
    <w:p/>
    <w:p>
      <w:pPr>
        <w:jc w:val="center"/>
      </w:pPr>
      <w:r>
        <w:rPr>
          <w:color w:val="444444"/>
          <w:sz w:val="24"/>
        </w:rPr>
        <w:t>22nd Century Technologies, Inc.</w:t>
        <w:br/>
        <w:t>V-Intelligence UEBA Program</w:t>
        <w:br/>
        <w:br/>
        <w:t>June 2026 — Innovation Brief, Version 1.0</w:t>
        <w:br/>
        <w:br/>
        <w:t>Prepared for: Defense Logistics Agency — CIO and Program Executive Office</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Defense logistics networks move millions of transactions a day across global supply chains. An insider — or an adversary on stolen credentials — can divert procurement data, alter inventory records, or open a covert channel while generating transaction volumes indistinguishable from normal operations.</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Because our system models HOW a logistics operator interacts with systems — not just WHETHER they cross a volume threshold — it surfaces the slow manipulation of supply-chain records and the quiet establishment of adversary channels that threshold-based tools never see.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8.1% false-positive rate (20 of 246 normal entities at the recall-at-100% operating point).</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shd w:fill="FBEEE6" w:val="clear"/>
        <w:spacing w:before="80" w:after="120"/>
      </w:pPr>
      <w:r>
        <w:rPr>
          <w:b/>
          <w:color w:val="C0392B"/>
          <w:sz w:val="19"/>
        </w:rPr>
        <w:t xml:space="preserve">⟦ WITHHELD ⟧  </w:t>
      </w:r>
      <w:r>
        <w:rPr>
          <w:i/>
          <w:color w:val="444444"/>
          <w:sz w:val="19"/>
        </w:rPr>
        <w:t>Serialization templates, the signal taxonomy, and the composition weights that fuse the five signals into one entity vector. Exact formulation, parameters, and tuning are proprietary and are disclosed only in the NDA / technical-exchange edition of this paper.</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shd w:fill="FBEEE6" w:val="clear"/>
        <w:spacing w:before="80" w:after="120"/>
      </w:pPr>
      <w:r>
        <w:rPr>
          <w:b/>
          <w:color w:val="C0392B"/>
          <w:sz w:val="19"/>
        </w:rPr>
        <w:t xml:space="preserve">⟦ WITHHELD ⟧  </w:t>
      </w:r>
      <w:r>
        <w:rPr>
          <w:i/>
          <w:color w:val="444444"/>
          <w:sz w:val="19"/>
        </w:rPr>
        <w:t>Exact zone feature membership, per-zone drift thresholds (stable vs. drifting bands), and the zone-fusion weighting. Exact formulation, parameters, and tuning are proprietary and are disclosed only in the NDA / technical-exchange edition of this paper.</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shd w:fill="FBEEE6" w:val="clear"/>
        <w:spacing w:before="80" w:after="120"/>
      </w:pPr>
      <w:r>
        <w:rPr>
          <w:b/>
          <w:color w:val="C0392B"/>
          <w:sz w:val="19"/>
        </w:rPr>
        <w:t xml:space="preserve">⟦ WITHHELD ⟧  </w:t>
      </w:r>
      <w:r>
        <w:rPr>
          <w:i/>
          <w:color w:val="444444"/>
          <w:sz w:val="19"/>
        </w:rPr>
        <w:t>The attention weight vectors per context and the exact linear-normalization scheme (zone energy × context bias, normalized to sum to 1). Exact formulation, parameters, and tuning are proprietary and are disclosed only in the NDA / technical-exchange edition of this paper.</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shd w:fill="FBEEE6" w:val="clear"/>
        <w:spacing w:before="80" w:after="120"/>
      </w:pPr>
      <w:r>
        <w:rPr>
          <w:b/>
          <w:color w:val="C0392B"/>
          <w:sz w:val="19"/>
        </w:rPr>
        <w:t xml:space="preserve">⟦ WITHHELD ⟧  </w:t>
      </w:r>
      <w:r>
        <w:rPr>
          <w:i/>
          <w:color w:val="444444"/>
          <w:sz w:val="19"/>
        </w:rPr>
        <w:t>The trajectory feature definitions and the phase-state thresholds (acceleration, trend-consistency floor, regime-shift cutoff) used to classify motion. Exact formulation, parameters, and tuning are proprietary and are disclosed only in the NDA / technical-exchange edition of this paper.</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shd w:fill="FBEEE6" w:val="clear"/>
        <w:spacing w:before="80" w:after="120"/>
      </w:pPr>
      <w:r>
        <w:rPr>
          <w:b/>
          <w:color w:val="C0392B"/>
          <w:sz w:val="19"/>
        </w:rPr>
        <w:t xml:space="preserve">⟦ WITHHELD ⟧  </w:t>
      </w:r>
      <w:r>
        <w:rPr>
          <w:i/>
          <w:color w:val="444444"/>
          <w:sz w:val="19"/>
        </w:rPr>
        <w:t>The concept library contents, the benign anchor concepts used to suppress false alignment, and the alignment-to-alert thresholds. Exact formulation, parameters, and tuning are proprietary and are disclosed only in the NDA / technical-exchange edition of this paper.</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shd w:fill="FBEEE6" w:val="clear"/>
        <w:spacing w:before="80" w:after="120"/>
      </w:pPr>
      <w:r>
        <w:rPr>
          <w:b/>
          <w:color w:val="C0392B"/>
          <w:sz w:val="19"/>
        </w:rPr>
        <w:t xml:space="preserve">⟦ WITHHELD ⟧  </w:t>
      </w:r>
      <w:r>
        <w:rPr>
          <w:i/>
          <w:color w:val="444444"/>
          <w:sz w:val="19"/>
        </w:rPr>
        <w:t>The relationship composition operator and the cohort-coherence threshold used to declare a co-drifting cluster. Exact formulation, parameters, and tuning are proprietary and are disclosed only in the NDA / technical-exchange edition of this paper.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pPr>
        <w:shd w:fill="FBEEE6" w:val="clear"/>
        <w:spacing w:before="80" w:after="120"/>
      </w:pPr>
      <w:r>
        <w:rPr>
          <w:b/>
          <w:color w:val="C0392B"/>
          <w:sz w:val="19"/>
        </w:rPr>
        <w:t xml:space="preserve">⟦ WITHHELD ⟧  </w:t>
      </w:r>
      <w:r>
        <w:rPr>
          <w:i/>
          <w:color w:val="444444"/>
          <w:sz w:val="19"/>
        </w:rPr>
        <w:t>The phase weightings, the role-cohort normalization, and the novelty-persistence window and counting rule. Exact formulation, parameters, and tuning are proprietary and are disclosed only in the NDA / technical-exchange edition of this paper.</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51.3</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19.4</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#24 of 250</w:t>
            </w:r>
          </w:p>
        </w:tc>
        <w:tc>
          <w:tcPr>
            <w:tcW w:type="dxa" w:w="1440"/>
            <w:shd w:fill="EAF0F6"/>
          </w:tcPr>
          <w:p>
            <w:r>
              <w:rPr>
                <w:sz w:val="18"/>
              </w:rPr>
              <w:t>13.7</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8.1% false-positive rate (20 of 246 normal entities at the recall-at-100% operating point). Traditional Traditional magnitude-based detectors can flag anomalies but provide no directional intelligence to distinguish threat type or guide analyst triage.</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r>
        <w:br w:type="page"/>
      </w:r>
    </w:p>
    <w:p>
      <w:pPr>
        <w:pStyle w:val="Heading1"/>
      </w:pPr>
      <w:r>
        <w:rPr>
          <w:color w:val="0D1B2A"/>
        </w:rPr>
        <w:t>7. What This Enables for Your Mission</w:t>
      </w:r>
    </w:p>
    <w:p>
      <w:pPr>
        <w:spacing w:after="120"/>
      </w:pPr>
      <w:r>
        <w:rPr>
          <w:b w:val="0"/>
          <w:i w:val="0"/>
          <w:color w:val="000000"/>
          <w:sz w:val="21"/>
        </w:rPr>
        <w:t>Because our system models HOW a logistics operator interacts with systems — not just WHETHER they cross a volume threshold — it surfaces the slow manipulation of supply-chain records and the quiet establishment of adversary channels that threshold-based tools never see.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