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for Supply Chain and Logistics Network Defense</w:t>
      </w:r>
    </w:p>
    <w:p/>
    <w:p/>
    <w:p>
      <w:pPr>
        <w:jc w:val="center"/>
      </w:pPr>
      <w:r>
        <w:rPr>
          <w:color w:val="444444"/>
          <w:sz w:val="24"/>
        </w:rPr>
        <w:t>22nd Century Technologies, Inc.</w:t>
        <w:br/>
        <w:t>V-Intelligence UEBA Program</w:t>
        <w:br/>
        <w:br/>
        <w:t>June 2026 — Innovation Brief, Version 1.0</w:t>
        <w:br/>
        <w:br/>
        <w:t>Prepared for: Defense Logistics Agency — CIO and Program Executive Office</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Defense logistics networks move millions of transactions a day across global supply chains. An insider — or an adversary on stolen credentials — can divert procurement data, alter inventory records, or open a covert channel while generating transaction volumes indistinguishable from normal operations.</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Because our system models HOW a logistics operator interacts with systems — not just WHETHER they cross a volume threshold — it surfaces the slow manipulation of supply-chain records and the quiet establishment of adversary channels that threshold-based tools never see.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Because our system models HOW a logistics operator interacts with systems — not just WHETHER they cross a volume threshold — it surfaces the slow manipulation of supply-chain records and the quiet establishment of adversary channels that threshold-based tools never see.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is a conceptual overview. Architectural detail, the system design, and empirical method are available in the Architectural and NDA editions of this paper 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