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for Special Operations Cyber Defense</w:t>
      </w:r>
    </w:p>
    <w:p/>
    <w:p/>
    <w:p>
      <w:pPr>
        <w:jc w:val="center"/>
      </w:pPr>
      <w:r>
        <w:rPr>
          <w:color w:val="444444"/>
          <w:sz w:val="24"/>
        </w:rPr>
        <w:t>22nd Century Technologies, Inc.</w:t>
        <w:br/>
        <w:t>V-Intelligence UEBA Program</w:t>
        <w:br/>
        <w:br/>
        <w:t>June 2026 — Innovation Brief, Version 1.0</w:t>
        <w:br/>
        <w:br/>
        <w:t>Prepared for: United States Special Operations Command — SDA, EIS, S&amp;T, Innovation</w:t>
      </w:r>
    </w:p>
    <w:p/>
    <w:p/>
    <w:p>
      <w:pPr>
        <w:jc w:val="center"/>
        <w:shd w:fill="FBEEE6" w:val="clear"/>
      </w:pPr>
      <w:r>
        <w:rPr>
          <w:b/>
          <w:color w:val="C0392B"/>
          <w:sz w:val="20"/>
        </w:rPr>
        <w:t>DISTRIBUTION: Proprietary &amp; Technical — NDA Required, Do Not Distribute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Special Operations Forces operate across networks, classification levels, and combatant commands, routinely touching compartmented programs and operational plans. A single compromised operator can expose source networks, mission timelines, and force disposition — at the cost of lives.</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digital-entity model builds an independent behavioral profile for every operator and watches the *direction* its behavior is drifting. It flags an operator who is quietly becoming a collection platform long before any single metric leaves its normal range.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spacing w:after="120"/>
      </w:pPr>
      <w:r>
        <w:rPr>
          <w:b w:val="0"/>
          <w:i/>
          <w:color w:val="444444"/>
          <w:sz w:val="21"/>
        </w:rPr>
        <w:t>Exact formulation, parameters, and tuning for this component are given in Section 5 (Method Deep Dive).</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spacing w:after="120"/>
      </w:pPr>
      <w:r>
        <w:rPr>
          <w:b w:val="0"/>
          <w:i/>
          <w:color w:val="444444"/>
          <w:sz w:val="21"/>
        </w:rPr>
        <w:t>Exact formulation, parameters, and tuning for this component are given in Section 5 (Method Deep Dive).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spacing w:after="120"/>
      </w:pPr>
      <w:r>
        <w:rPr>
          <w:b w:val="0"/>
          <w:i/>
          <w:color w:val="444444"/>
          <w:sz w:val="21"/>
        </w:rPr>
        <w:t>Exact formulation, parameters, and tuning for this component are given in Section 5 (Method Deep Dive).</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spacing w:after="120"/>
      </w:pPr>
      <w:r>
        <w:rPr>
          <w:b w:val="0"/>
          <w:i/>
          <w:color w:val="444444"/>
          <w:sz w:val="21"/>
        </w:rPr>
        <w:t>Exact formulation, parameters, and tuning for this component are given in Section 5 (Method Deep Dive).</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spacing w:after="120"/>
      </w:pPr>
      <w:r>
        <w:rPr>
          <w:b w:val="0"/>
          <w:i/>
          <w:color w:val="444444"/>
          <w:sz w:val="21"/>
        </w:rPr>
        <w:t>Exact formulation, parameters, and tuning for this component are given in Section 5 (Method Deep Dive).</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spacing w:after="120"/>
      </w:pPr>
      <w:r>
        <w:rPr>
          <w:b w:val="0"/>
          <w:i/>
          <w:color w:val="444444"/>
          <w:sz w:val="21"/>
        </w:rPr>
        <w:t>Exact formulation, parameters, and tuning for this component are given in Section 5 (Method Deep Dive).</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pPr>
        <w:spacing w:after="120"/>
      </w:pPr>
      <w:r>
        <w:rPr>
          <w:b w:val="0"/>
          <w:i/>
          <w:color w:val="444444"/>
          <w:sz w:val="21"/>
        </w:rPr>
        <w:t>Exact formulation, parameters, and tuning for this component are given in Section 5 (Method Deep Dive).</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pPr>
        <w:spacing w:after="120"/>
      </w:pPr>
      <w:r>
        <w:rPr>
          <w:b w:val="0"/>
          <w:i/>
          <w:color w:val="444444"/>
          <w:sz w:val="21"/>
        </w:rPr>
        <w:t>The complementary design — raw features for numeric precision on volume spikes, embeddings for semantic shifts at constant volume, fused by the composite scorer — is detailed in Section 5 (Method Deep Dive).</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5. Method Deep Dive (Proprietary)</w:t>
      </w:r>
    </w:p>
    <w:p>
      <w:pPr>
        <w:pBdr>
          <w:left w:val="single" w:sz="24" w:space="12" w:color="C0392B"/>
        </w:pBdr>
        <w:shd w:fill="FBEEE6" w:val="clear"/>
        <w:spacing w:before="160" w:after="160"/>
      </w:pPr>
      <w:r>
        <w:rPr>
          <w:b/>
          <w:color w:val="0D1B2A"/>
          <w:sz w:val="21"/>
        </w:rPr>
        <w:t>This section is included only in the NDA / technical-exchange edition. It contains proprietary formulations. Treat as Business Sensitive — do not distribute.</w:t>
      </w:r>
    </w:p>
    <w:p>
      <w:pPr>
        <w:pStyle w:val="Heading2"/>
      </w:pPr>
      <w:r>
        <w:rPr>
          <w:color w:val="1B4F72"/>
        </w:rPr>
        <w:t>5.1  Signal Composition</w:t>
      </w:r>
    </w:p>
    <w:p>
      <w:pPr>
        <w:spacing w:after="120"/>
      </w:pPr>
      <w:r>
        <w:rPr>
          <w:b w:val="0"/>
          <w:i w:val="0"/>
          <w:color w:val="000000"/>
          <w:sz w:val="21"/>
        </w:rPr>
        <w:t>An entity's composite embedding is a weighted average of its five signal embeddings (weighted average, not concatenation — preserving the unified 1536-d geometry):</w:t>
      </w:r>
    </w:p>
    <w:p>
      <w:pPr>
        <w:spacing w:before="80" w:after="80"/>
        <w:ind w:left="360"/>
      </w:pPr>
      <w:r>
        <w:rPr>
          <w:rFonts w:ascii="Consolas" w:hAnsi="Consolas"/>
          <w:color w:val="333333"/>
          <w:sz w:val="18"/>
        </w:rPr>
        <w:t>composite = normalize( Σ_i  w_i · embed(signal_i) )</w:t>
        <w:br/>
        <w:br/>
        <w:t>user signal weights (illustrative, tuned per deployment):</w:t>
        <w:br/>
        <w:t xml:space="preserve">  auth = 0.25,  privilege = 0.20,  data_access = 0.20,</w:t>
        <w:br/>
        <w:t xml:space="preserve">  network = 0.20,  communication = 0.15</w:t>
      </w:r>
    </w:p>
    <w:p>
      <w:pPr>
        <w:pStyle w:val="Heading2"/>
      </w:pPr>
      <w:r>
        <w:rPr>
          <w:color w:val="1B4F72"/>
        </w:rPr>
        <w:t>5.2  Drift Vector and Direction</w:t>
      </w:r>
    </w:p>
    <w:p>
      <w:pPr>
        <w:spacing w:before="80" w:after="80"/>
        <w:ind w:left="360"/>
      </w:pPr>
      <w:r>
        <w:rPr>
          <w:rFonts w:ascii="Consolas" w:hAnsi="Consolas"/>
          <w:color w:val="333333"/>
          <w:sz w:val="18"/>
        </w:rPr>
        <w:t>drift_vector = V(t2) - V(t1)</w:t>
        <w:br/>
        <w:t>alignment(concept) = cos( drift_vector, embed(concept) )</w:t>
        <w:br/>
        <w:t>report concepts ranked by alignment; map top concepts -&gt; MITRE ATT&amp;CK</w:t>
      </w:r>
    </w:p>
    <w:p>
      <w:pPr>
        <w:pStyle w:val="Heading2"/>
      </w:pPr>
      <w:r>
        <w:rPr>
          <w:color w:val="1B4F72"/>
        </w:rPr>
        <w:t>5.3  CUSUM Change-Point on Drift</w:t>
      </w:r>
    </w:p>
    <w:p>
      <w:pPr>
        <w:spacing w:after="120"/>
      </w:pPr>
      <w:r>
        <w:rPr>
          <w:b w:val="0"/>
          <w:i w:val="0"/>
          <w:color w:val="000000"/>
          <w:sz w:val="21"/>
        </w:rPr>
        <w:t>Per-period drift below an alert threshold still accumulates. CUSUM sums the above-slack excess and fires when the cumulative sum crosses a decision interval — catching, e.g., 0.02/period sustained over six periods that no single-period threshold would flag.</w:t>
      </w:r>
    </w:p>
    <w:p>
      <w:pPr>
        <w:spacing w:before="80" w:after="80"/>
        <w:ind w:left="360"/>
      </w:pPr>
      <w:r>
        <w:rPr>
          <w:rFonts w:ascii="Consolas" w:hAnsi="Consolas"/>
          <w:color w:val="333333"/>
          <w:sz w:val="18"/>
        </w:rPr>
        <w:t>S_0 = 0</w:t>
        <w:br/>
        <w:t>S_t = max(0, S_{t-1} + (d_t - k))      # k = slack (allowable drift)</w:t>
        <w:br/>
        <w:t>alarm when S_t &gt; h                      # h = decision interval</w:t>
        <w:br/>
        <w:t>change_point = argmin index where S began its sustained rise</w:t>
      </w:r>
    </w:p>
    <w:p>
      <w:pPr>
        <w:pStyle w:val="Heading2"/>
      </w:pPr>
      <w:r>
        <w:rPr>
          <w:color w:val="1B4F72"/>
        </w:rPr>
        <w:t>5.4  Multi-Phase Composite Score</w:t>
      </w:r>
    </w:p>
    <w:p>
      <w:pPr>
        <w:spacing w:after="120"/>
      </w:pPr>
      <w:r>
        <w:rPr>
          <w:b w:val="0"/>
          <w:i w:val="0"/>
          <w:color w:val="000000"/>
          <w:sz w:val="21"/>
        </w:rPr>
        <w:t>The composite fuses five normalized phases. Peer divergence is computed within role cohorts so an administrator is compared to administrators, not to accountants.</w:t>
      </w:r>
    </w:p>
    <w:p>
      <w:pPr>
        <w:spacing w:before="80" w:after="80"/>
        <w:ind w:left="360"/>
      </w:pPr>
      <w:r>
        <w:rPr>
          <w:rFonts w:ascii="Consolas" w:hAnsi="Consolas"/>
          <w:color w:val="333333"/>
          <w:sz w:val="18"/>
        </w:rPr>
        <w:t>composite = f( signal_strength,        # peak sustained zone deviation</w:t>
        <w:br/>
        <w:t xml:space="preserve">               breadth,                # # zones simultaneously drifting</w:t>
        <w:br/>
        <w:t xml:space="preserve">               sustained_signal,       # half-period mean deviation</w:t>
        <w:br/>
        <w:t xml:space="preserve">               context_divergence,     # peer z-score within role cohort</w:t>
        <w:br/>
        <w:t xml:space="preserve">               novelty_persistence )   # recurring unseen infrastructure</w:t>
        <w:br/>
        <w:br/>
        <w:t>phase weights and cohort normalization are deployment-tuned.</w:t>
      </w:r>
    </w:p>
    <w:p>
      <w:pPr>
        <w:shd w:fill="FBEEE6" w:val="clear"/>
        <w:spacing w:before="80" w:after="120"/>
      </w:pPr>
      <w:r>
        <w:rPr>
          <w:b/>
          <w:color w:val="C0392B"/>
          <w:sz w:val="19"/>
        </w:rPr>
        <w:t xml:space="preserve">⟦ WITHHELD ⟧  </w:t>
      </w:r>
      <w:r>
        <w:rPr>
          <w:i/>
          <w:color w:val="444444"/>
          <w:sz w:val="19"/>
        </w:rPr>
        <w:t>Production weight values, slack/decision-interval settings, and the novelty-persistence window are environment-specific and tuned during deployment. Exact formulation, parameters, and tuning are proprietary and are disclosed only in the NDA / technical-exchange edition of this paper.</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Our digital-entity model builds an independent behavioral profile for every operator and watches the *direction* its behavior is drifting. It flags an operator who is quietly becoming a collection platform long before any single metric leaves its normal range.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edition contains proprietary formulations and is provided under NDA. Do not redistribute.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