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Behavioral Entity Intelligence for Special Operations Cyber Defense</w:t>
      </w:r>
    </w:p>
    <w:p/>
    <w:p/>
    <w:p>
      <w:pPr>
        <w:jc w:val="center"/>
      </w:pPr>
      <w:r>
        <w:rPr>
          <w:color w:val="444444"/>
          <w:sz w:val="24"/>
        </w:rPr>
        <w:t>22nd Century Technologies, Inc.</w:t>
        <w:br/>
        <w:t>V-Intelligence UEBA Program</w:t>
        <w:br/>
        <w:br/>
        <w:t>June 2026 — Innovation Brief, Version 1.0</w:t>
        <w:br/>
        <w:br/>
        <w:t>Prepared for: United States Special Operations Command — SDA, EIS, S&amp;T, Innovation</w:t>
      </w:r>
    </w:p>
    <w:p/>
    <w:p/>
    <w:p>
      <w:pPr>
        <w:jc w:val="center"/>
        <w:shd w:fill="E8F3EC" w:val="clear"/>
      </w:pPr>
      <w:r>
        <w:rPr>
          <w:b/>
          <w:color w:val="1E8A49"/>
          <w:sz w:val="20"/>
        </w:rPr>
        <w:t>DISTRIBUTION: Conceptual Overview — Cleared for General Distribution</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Special Operations Forces operate across networks, classification levels, and combatant commands, routinely touching compartmented programs and operational plans. A single compromised operator can expose source networks, mission timelines, and force disposition — at the cost of lives.</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Our digital-entity model builds an independent behavioral profile for every operator and watches the *direction* its behavior is drifting. It flags an operator who is quietly becoming a collection platform long before any single metric leaves its normal range.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Our digital-entity model builds an independent behavioral profile for every operator and watches the *direction* its behavior is drifting. It flags an operator who is quietly becoming a collection platform long before any single metric leaves its normal range.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This is a conceptual overview. Architectural detail, the system design, and empirical method are available in the Architectural and NDA editions of this paper on request.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