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  BEHAVIORAL ENTITY INTELLIGENCE</w:t>
      </w:r>
    </w:p>
    <w:p>
      <w:pPr>
        <w:jc w:val="center"/>
      </w:pPr>
      <w:r>
        <w:rPr>
          <w:b/>
          <w:color w:val="0D1B2A"/>
          <w:sz w:val="60"/>
        </w:rPr>
        <w:t>Detecting What an Entity is Becoming</w:t>
      </w:r>
    </w:p>
    <w:p>
      <w:pPr>
        <w:jc w:val="center"/>
      </w:pPr>
      <w:r>
        <w:rPr>
          <w:color w:val="1B4F72"/>
          <w:sz w:val="30"/>
        </w:rPr>
        <w:t>A New Detection Paradigm: Behavioral Entity Intelligence</w:t>
      </w:r>
    </w:p>
    <w:p/>
    <w:p/>
    <w:p>
      <w:pPr>
        <w:jc w:val="center"/>
      </w:pPr>
      <w:r>
        <w:rPr>
          <w:color w:val="444444"/>
          <w:sz w:val="24"/>
        </w:rPr>
        <w:t>22nd Century Technologies, Inc.</w:t>
        <w:br/>
        <w:t>V-Intelligence UEBA Program</w:t>
        <w:br/>
        <w:br/>
        <w:t>June 2026 — Innovation Brief, Version 1.0</w:t>
        <w:br/>
        <w:br/>
        <w:t>Prepared for: Federal Cyber Defense Leadership</w:t>
      </w:r>
    </w:p>
    <w:p/>
    <w:p/>
    <w:p>
      <w:pPr>
        <w:jc w:val="center"/>
        <w:shd w:fill="E8F3EC" w:val="clear"/>
      </w:pPr>
      <w:r>
        <w:rPr>
          <w:b/>
          <w:color w:val="1E8A49"/>
          <w:sz w:val="20"/>
        </w:rPr>
        <w:t>DISTRIBUTION: Conceptual Overview — Cleared for General Distribution</w:t>
      </w:r>
    </w:p>
    <w:p>
      <w:r>
        <w:br w:type="page"/>
      </w:r>
    </w:p>
    <w:p>
      <w:pPr>
        <w:pStyle w:val="Heading1"/>
      </w:pPr>
      <w:r>
        <w:rPr>
          <w:color w:val="0D1B2A"/>
        </w:rPr>
        <w:t>1. Executive Summary</w:t>
      </w:r>
    </w:p>
    <w:p>
      <w:pPr>
        <w:spacing w:after="40"/>
      </w:pPr>
      <w:r>
        <w:rPr>
          <w:b/>
          <w:i w:val="0"/>
          <w:color w:val="000000"/>
          <w:sz w:val="21"/>
        </w:rPr>
        <w:t>The mission problem</w:t>
      </w:r>
    </w:p>
    <w:p>
      <w:pPr>
        <w:spacing w:after="120"/>
      </w:pPr>
      <w:r>
        <w:rPr>
          <w:b w:val="0"/>
          <w:i w:val="0"/>
          <w:color w:val="000000"/>
          <w:sz w:val="21"/>
        </w:rPr>
        <w:t>Modern adversaries — insiders, slow APTs, and living-off-the-land campaigns — operate inside authorized access, moving slowly enough that no single metric ever leaves its normal range. The defensive question is no longer 'did a threshold break?' but 'what is this entity becoming?'</w:t>
      </w:r>
    </w:p>
    <w:p>
      <w:pPr>
        <w:spacing w:after="40"/>
      </w:pPr>
      <w:r>
        <w:rPr>
          <w:b/>
          <w:i w:val="0"/>
          <w:color w:val="000000"/>
          <w:sz w:val="21"/>
        </w:rPr>
        <w:t>Why today's tools miss it</w:t>
      </w:r>
    </w:p>
    <w:p>
      <w:pPr>
        <w:spacing w:after="120"/>
      </w:pPr>
      <w:r>
        <w:rPr>
          <w:b w:val="0"/>
          <w:i w:val="0"/>
          <w:color w:val="000000"/>
          <w:sz w:val="21"/>
        </w:rPr>
        <w:t>Signature and threshold detection ask a binary question — did a metric exceed a limit? The most damaging modern threats are engineered to keep every metric inside its normal band. An insider does not log in more; they log in to different things. A slow APT does not flood the network; it beacons a few times a day for six months. Each day's change is statistically invisible. The damage is in the accumulation and in the direction of change — neither of which a threshold can represent.</w:t>
      </w:r>
    </w:p>
    <w:p>
      <w:pPr>
        <w:spacing w:after="40"/>
      </w:pPr>
      <w:r>
        <w:rPr>
          <w:b/>
          <w:i w:val="0"/>
          <w:color w:val="000000"/>
          <w:sz w:val="21"/>
        </w:rPr>
        <w:t>Our innovation</w:t>
      </w:r>
    </w:p>
    <w:p>
      <w:pPr>
        <w:spacing w:after="120"/>
      </w:pPr>
      <w:r>
        <w:rPr>
          <w:b w:val="0"/>
          <w:i w:val="0"/>
          <w:color w:val="000000"/>
          <w:sz w:val="21"/>
        </w:rPr>
        <w:t>We answer that question by modeling each user, device, and account as a digital entity whose behavior is embedded as language, decomposed into independent zones, and tracked as a trajectory through semantic space.</w:t>
      </w:r>
    </w:p>
    <w:p>
      <w:pPr>
        <w:spacing w:after="120"/>
      </w:pPr>
      <w:r>
        <w:rPr>
          <w:b w:val="0"/>
          <w:i w:val="0"/>
          <w:color w:val="000000"/>
          <w:sz w:val="21"/>
        </w:rPr>
        <w:t>We treat every user, device, account, application, and session as a living digital twin. Each entity's behavior is serialized into natural language, embedded into a shared semantic space, decomposed into five independent behavioral zones, and tracked as a trajectory over time. We do not measure how much an entity changed; we measure what it is turning into — and we name the direction in the vocabulary of MITRE ATT&amp;CK.</w:t>
      </w:r>
    </w:p>
    <w:p>
      <w:pPr>
        <w:spacing w:after="120"/>
      </w:pPr>
      <w:r>
        <w:rPr>
          <w:b w:val="0"/>
          <w:i w:val="0"/>
          <w:color w:val="000000"/>
          <w:sz w:val="21"/>
        </w:rPr>
        <w:t>V-Intelligence brings the representational power of large language models — the rich semantic space a transformer learns — into the mission application layer, and couples it with rigorous vector mathematics: drift geometry, cohort statistics, and change-point detection. Where an LLM uses that space to understand language, we use it to understand behavior.</w:t>
      </w:r>
    </w:p>
    <w:p>
      <w:pPr>
        <w:pBdr>
          <w:left w:val="single" w:sz="24" w:space="12" w:color="0E6B8A"/>
        </w:pBdr>
        <w:shd w:fill="EAF4F7" w:val="clear"/>
        <w:spacing w:before="160" w:after="160"/>
      </w:pPr>
      <w:r>
        <w:rPr>
          <w:b/>
          <w:color w:val="0D1B2A"/>
          <w:sz w:val="21"/>
        </w:rPr>
        <w:t>The core idea in one line: traditional analytics measure the MAGNITUDE of change. Behavioral Entity Intelligence measures the DIRECTION of change — and that is where the slow, deliberate threats live.</w:t>
      </w:r>
    </w:p>
    <w:p>
      <w:pPr>
        <w:spacing w:after="40"/>
      </w:pPr>
      <w:r>
        <w:rPr>
          <w:b/>
          <w:i w:val="0"/>
          <w:color w:val="000000"/>
          <w:sz w:val="21"/>
        </w:rPr>
        <w:t>What it delivers</w:t>
      </w:r>
    </w:p>
    <w:p>
      <w:pPr>
        <w:spacing w:after="120"/>
      </w:pPr>
      <w:r>
        <w:rPr>
          <w:b w:val="0"/>
          <w:i w:val="0"/>
          <w:color w:val="000000"/>
          <w:sz w:val="21"/>
        </w:rPr>
        <w:t>Validated on 250 entities over 485 days of synthetic telemetry (~14 million events across five log sources) with 4 embedded attack campaigns:</w:t>
      </w:r>
    </w:p>
    <w:p>
      <w:pPr>
        <w:pStyle w:val="ListBullet"/>
        <w:ind w:left="360"/>
      </w:pPr>
      <w:r>
        <w:rPr>
          <w:b/>
          <w:sz w:val="21"/>
        </w:rPr>
        <w:t xml:space="preserve">Detection: </w:t>
      </w:r>
      <w:r>
        <w:rPr>
          <w:sz w:val="21"/>
        </w:rPr>
        <w:t>All 4 of 4 embedded campaigns were surfaced in the top tier of the ranked output, at an 8.1% false-positive rate (20 of 246 normal entities at the recall-at-100% operating point).</w:t>
      </w:r>
    </w:p>
    <w:p>
      <w:pPr>
        <w:pStyle w:val="ListBullet"/>
        <w:ind w:left="360"/>
      </w:pPr>
      <w:r>
        <w:rPr>
          <w:b/>
          <w:sz w:val="21"/>
        </w:rPr>
        <w:t xml:space="preserve">Baseline gap: </w:t>
      </w:r>
      <w:r>
        <w:rPr>
          <w:sz w:val="21"/>
        </w:rPr>
        <w:t>Traditional detectors flag at most 1 of the 4 campaigns (Z-Score catches one; LOF, Isolation Forest, and OCSVM catch none) — and even that one alert is only an undirected anomaly score with no zone-level explanation of which behavioral dimension changed or toward what threat pattern.</w:t>
      </w:r>
    </w:p>
    <w:p>
      <w:pPr>
        <w:pStyle w:val="ListBullet"/>
        <w:ind w:left="360"/>
      </w:pPr>
      <w:r>
        <w:rPr>
          <w:b/>
          <w:sz w:val="21"/>
        </w:rPr>
        <w:t xml:space="preserve">Hardest case caught: </w:t>
      </w:r>
      <w:r>
        <w:rPr>
          <w:sz w:val="21"/>
        </w:rPr>
        <w:t>The 417-day slow APT is surfaced primarily by novelty persistence — recurring contact with never-before-seen infrastructure — even though its raw signal strength is among the lowest of any entity. A magnitude-based detector cannot see it; a direction-and-novelty detector ranks it as a top threat.</w:t>
      </w:r>
    </w:p>
    <w:p>
      <w:r>
        <w:br w:type="page"/>
      </w:r>
    </w:p>
    <w:p>
      <w:pPr>
        <w:pStyle w:val="Heading1"/>
      </w:pPr>
      <w:r>
        <w:rPr>
          <w:color w:val="0D1B2A"/>
        </w:rPr>
        <w:t>2. Seven Innovations</w:t>
      </w:r>
    </w:p>
    <w:p>
      <w:pPr>
        <w:spacing w:after="120"/>
      </w:pPr>
      <w:r>
        <w:rPr>
          <w:b w:val="0"/>
          <w:i w:val="0"/>
          <w:color w:val="000000"/>
          <w:sz w:val="21"/>
        </w:rPr>
        <w:t>Behavioral Entity Intelligence is not one model; it is seven design choices that compound. Each is summarized below at the disclosure level of this document. The depth of architectural and mathematical detail increases with the distribution marking on the title page.</w:t>
      </w:r>
    </w:p>
    <w:p>
      <w:pPr>
        <w:pStyle w:val="Heading2"/>
      </w:pPr>
      <w:r>
        <w:rPr>
          <w:color w:val="1B4F72"/>
        </w:rPr>
        <w:t>2.1  Behavior as Language</w:t>
      </w:r>
    </w:p>
    <w:p>
      <w:pPr>
        <w:spacing w:after="120"/>
      </w:pPr>
      <w:r>
        <w:rPr>
          <w:b w:val="0"/>
          <w:i w:val="0"/>
          <w:color w:val="000000"/>
          <w:sz w:val="21"/>
        </w:rPr>
        <w:t>Raw telemetry — counts, ratios, byte totals — is first rendered into a short prose description of what the entity did, then embedded into a 1,536-dimension semantic vector. Activity that means the same thing lands near itself in the space, and a change in the *kind* of activity becomes a measurable change in direction.</w:t>
      </w:r>
    </w:p>
    <w:p>
      <w:pPr>
        <w:pStyle w:val="Heading2"/>
      </w:pPr>
      <w:r>
        <w:rPr>
          <w:color w:val="1B4F72"/>
        </w:rPr>
        <w:t>2.2  The Digital Entity and Zone Decomposition</w:t>
      </w:r>
    </w:p>
    <w:p>
      <w:pPr>
        <w:spacing w:after="120"/>
      </w:pPr>
      <w:r>
        <w:rPr>
          <w:b w:val="0"/>
          <w:i w:val="0"/>
          <w:color w:val="000000"/>
          <w:sz w:val="21"/>
        </w:rPr>
        <w:t>Every entity is modeled as five independent behavioral zones rather than a single blob. A real threat usually lights up one zone while the others stay normal — and a single composite would average that signal away. Zone decomposition prevents the dilution that defeats first-generation behavioral analytics.</w:t>
      </w:r>
    </w:p>
    <w:p>
      <w:pPr>
        <w:pStyle w:val="Heading2"/>
      </w:pPr>
      <w:r>
        <w:rPr>
          <w:color w:val="1B4F72"/>
        </w:rPr>
        <w:t>2.3  Context-Adaptive Attention</w:t>
      </w:r>
    </w:p>
    <w:p>
      <w:pPr>
        <w:spacing w:after="120"/>
      </w:pPr>
      <w:r>
        <w:rPr>
          <w:b w:val="0"/>
          <w:i w:val="0"/>
          <w:color w:val="000000"/>
          <w:sz w:val="21"/>
        </w:rPr>
        <w:t>What counts as suspicious depends on what you are hunting. The same entity is scored differently during a routine watch, an insider investigation, and an APT hunt, because the system re-weights which behavioral zones matter for that context.</w:t>
      </w:r>
    </w:p>
    <w:p>
      <w:pPr>
        <w:pStyle w:val="Heading2"/>
      </w:pPr>
      <w:r>
        <w:rPr>
          <w:color w:val="1B4F72"/>
        </w:rPr>
        <w:t>2.4  Behavioral Trajectory and Phase State</w:t>
      </w:r>
    </w:p>
    <w:p>
      <w:pPr>
        <w:spacing w:after="120"/>
      </w:pPr>
      <w:r>
        <w:rPr>
          <w:b w:val="0"/>
          <w:i w:val="0"/>
          <w:color w:val="000000"/>
          <w:sz w:val="21"/>
        </w:rPr>
        <w:t>We track each entity as a moving point in semantic space and characterize its motion: velocity (how fast it is changing), acceleration (whether change is speeding up), regime shifts (abrupt reorientations), and trend consistency (is it drifting steadily in one direction, the signature of a deliberate campaign?).</w:t>
      </w:r>
    </w:p>
    <w:p>
      <w:pPr>
        <w:pStyle w:val="Heading2"/>
      </w:pPr>
      <w:r>
        <w:rPr>
          <w:color w:val="1B4F72"/>
        </w:rPr>
        <w:t>2.5  Direction via Reference Concepts (Explainable + MITRE-mapped)</w:t>
      </w:r>
    </w:p>
    <w:p>
      <w:pPr>
        <w:spacing w:after="120"/>
      </w:pPr>
      <w:r>
        <w:rPr>
          <w:b w:val="0"/>
          <w:i w:val="0"/>
          <w:color w:val="000000"/>
          <w:sz w:val="21"/>
        </w:rPr>
        <w:t>Instead of an opaque anomaly score, we project an entity's direction of drift onto a library of natural-language threat concepts — data exfiltration, lateral movement, privilege escalation, C2 beaconing, and more. The output is a sentence an analyst can act on, pre-mapped to MITRE ATT&amp;CK techniques.</w:t>
      </w:r>
    </w:p>
    <w:p>
      <w:pPr>
        <w:pStyle w:val="Heading2"/>
      </w:pPr>
      <w:r>
        <w:rPr>
          <w:color w:val="1B4F72"/>
        </w:rPr>
        <w:t>2.6  Relationship Intelligence</w:t>
      </w:r>
    </w:p>
    <w:p>
      <w:pPr>
        <w:spacing w:after="120"/>
      </w:pPr>
      <w:r>
        <w:rPr>
          <w:b w:val="0"/>
          <w:i w:val="0"/>
          <w:color w:val="000000"/>
          <w:sz w:val="21"/>
        </w:rPr>
        <w:t>Threats often show up not in any single entity but in how two entities interact — a user and an unusual device, an account and a foreign segment. We represent each entity pair as a first-class vector, so a change in a relationship is detectable even when neither participant individually looks abnormal.</w:t>
      </w:r>
    </w:p>
    <w:p>
      <w:pPr>
        <w:pStyle w:val="Heading2"/>
      </w:pPr>
      <w:r>
        <w:rPr>
          <w:color w:val="1B4F72"/>
        </w:rPr>
        <w:t>2.7  Multi-Phase Composite Scoring and Novelty Persistence</w:t>
      </w:r>
    </w:p>
    <w:p>
      <w:pPr>
        <w:spacing w:after="120"/>
      </w:pPr>
      <w:r>
        <w:rPr>
          <w:b w:val="0"/>
          <w:i w:val="0"/>
          <w:color w:val="000000"/>
          <w:sz w:val="21"/>
        </w:rPr>
        <w:t>The final verdict fuses several independent lines of evidence — signal strength, breadth across zones, sustained deviation from baseline, divergence from peers in the same role, and novelty persistence (recurring contact with never-before-seen infrastructure). The result is one ranked list, ordered by genuine risk.</w:t>
      </w:r>
    </w:p>
    <w:p>
      <w:r>
        <w:br w:type="page"/>
      </w:r>
    </w:p>
    <w:p>
      <w:pPr>
        <w:pStyle w:val="Heading1"/>
      </w:pPr>
      <w:r>
        <w:rPr>
          <w:color w:val="0D1B2A"/>
        </w:rPr>
        <w:t>3. The Signal-Combination Effect: Why the Whole Reveals What the Parts Hide</w:t>
      </w:r>
    </w:p>
    <w:p>
      <w:pPr>
        <w:spacing w:after="120"/>
      </w:pPr>
      <w:r>
        <w:rPr>
          <w:b w:val="0"/>
          <w:i w:val="0"/>
          <w:color w:val="000000"/>
          <w:sz w:val="21"/>
        </w:rPr>
        <w:t>The central reason this approach works is easy to state and hard to engineer: a deliberate threat hides in plain sight by keeping every individual signal inside its normal range. No single metric breaks. The risk becomes visible only when the signals are read together — and that combined reading is exactly what an entity embedding captures. A threshold tool scores each signal on its own axis and therefore sees nothing; the entity embedding scores the behavior as a whole and moves.</w:t>
      </w:r>
    </w:p>
    <w:p>
      <w:pPr>
        <w:pBdr>
          <w:left w:val="single" w:sz="24" w:space="12" w:color="0E6B8A"/>
        </w:pBdr>
        <w:shd w:fill="EAF4F7" w:val="clear"/>
        <w:spacing w:before="160" w:after="160"/>
      </w:pPr>
      <w:r>
        <w:rPr>
          <w:b/>
          <w:color w:val="0D1B2A"/>
          <w:sz w:val="21"/>
        </w:rPr>
        <w:t>Individually, every signal looks normal. Combined, the entity embedding moves — and the movement is the threat.</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spacing w:after="160"/>
        <w:jc w:val="center"/>
      </w:pPr>
      <w:r>
        <w:rPr>
          <w:i/>
          <w:color w:val="444444"/>
          <w:sz w:val="18"/>
        </w:rPr>
        <w:t>Figure 1 — Behavior as language: raw metrics are serialized to prose, embedded into a unified 1,536-d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spacing w:after="160"/>
        <w:jc w:val="center"/>
      </w:pPr>
      <w:r>
        <w:rPr>
          <w:i/>
          <w:color w:val="444444"/>
          <w:sz w:val="18"/>
        </w:rPr>
        <w:t>Figure 2 — The signal-combination effect (illustrative): each individual signal stays below the alert threshold, yet the fused entity score crosses it — the threat is visible only in combination.</w:t>
      </w:r>
    </w:p>
    <w:p>
      <w:pPr>
        <w:pStyle w:val="Heading2"/>
      </w:pPr>
      <w:r>
        <w:rPr>
          <w:color w:val="1B4F72"/>
        </w:rPr>
        <w:t>3.1  A Concrete Case: The Insider Who Changed Nothing Measurable</w:t>
      </w:r>
    </w:p>
    <w:p>
      <w:pPr>
        <w:spacing w:after="120"/>
      </w:pPr>
      <w:r>
        <w:rPr>
          <w:b w:val="0"/>
          <w:i w:val="0"/>
          <w:color w:val="000000"/>
          <w:sz w:val="21"/>
        </w:rPr>
        <w:t>Consider the embedded insider campaign (USR-156). Between two consecutive weeks the operator accessed the same number of files — but shifted from mostly public material to predominantly restricted and confidential material. Every count a threshold tool watches stayed put: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736"/>
            <w:shd w:fill="0D1B2A"/>
          </w:tcPr>
          <w:p>
            <w:pPr>
              <w:jc w:val="center"/>
            </w:pPr>
            <w:r>
              <w:rPr>
                <w:b/>
                <w:color w:val="FFFFFF"/>
                <w:sz w:val="18"/>
              </w:rPr>
              <w:t>Metric</w:t>
            </w:r>
          </w:p>
        </w:tc>
        <w:tc>
          <w:tcPr>
            <w:tcW w:type="dxa" w:w="1296"/>
            <w:shd w:fill="0D1B2A"/>
          </w:tcPr>
          <w:p>
            <w:pPr>
              <w:jc w:val="center"/>
            </w:pPr>
            <w:r>
              <w:rPr>
                <w:b/>
                <w:color w:val="FFFFFF"/>
                <w:sz w:val="18"/>
              </w:rPr>
              <w:t>Week 1</w:t>
            </w:r>
          </w:p>
        </w:tc>
        <w:tc>
          <w:tcPr>
            <w:tcW w:type="dxa" w:w="1296"/>
            <w:shd w:fill="0D1B2A"/>
          </w:tcPr>
          <w:p>
            <w:pPr>
              <w:jc w:val="center"/>
            </w:pPr>
            <w:r>
              <w:rPr>
                <w:b/>
                <w:color w:val="FFFFFF"/>
                <w:sz w:val="18"/>
              </w:rPr>
              <w:t>Week 2</w:t>
            </w:r>
          </w:p>
        </w:tc>
        <w:tc>
          <w:tcPr>
            <w:tcW w:type="dxa" w:w="3888"/>
            <w:shd w:fill="0D1B2A"/>
          </w:tcPr>
          <w:p>
            <w:pPr>
              <w:jc w:val="center"/>
            </w:pPr>
            <w:r>
              <w:rPr>
                <w:b/>
                <w:color w:val="FFFFFF"/>
                <w:sz w:val="18"/>
              </w:rPr>
              <w:t>What a feature-distance detector sees</w:t>
            </w:r>
          </w:p>
        </w:tc>
      </w:tr>
      <w:tr>
        <w:tc>
          <w:tcPr>
            <w:tcW w:type="dxa" w:w="2736"/>
          </w:tcPr>
          <w:p>
            <w:r>
              <w:rPr>
                <w:sz w:val="18"/>
              </w:rPr>
              <w:t>Files accessed (total)</w:t>
            </w:r>
          </w:p>
        </w:tc>
        <w:tc>
          <w:tcPr>
            <w:tcW w:type="dxa" w:w="1296"/>
          </w:tcPr>
          <w:p>
            <w:r>
              <w:rPr>
                <w:sz w:val="18"/>
              </w:rPr>
              <w:t>30</w:t>
            </w:r>
          </w:p>
        </w:tc>
        <w:tc>
          <w:tcPr>
            <w:tcW w:type="dxa" w:w="1296"/>
          </w:tcPr>
          <w:p>
            <w:r>
              <w:rPr>
                <w:sz w:val="18"/>
              </w:rPr>
              <w:t>30</w:t>
            </w:r>
          </w:p>
        </w:tc>
        <w:tc>
          <w:tcPr>
            <w:tcW w:type="dxa" w:w="3888"/>
          </w:tcPr>
          <w:p>
            <w:r>
              <w:rPr>
                <w:sz w:val="18"/>
              </w:rPr>
              <w:t>0 — identical, no drift</w:t>
            </w:r>
          </w:p>
        </w:tc>
      </w:tr>
      <w:tr>
        <w:tc>
          <w:tcPr>
            <w:tcW w:type="dxa" w:w="2736"/>
            <w:shd w:fill="EAF0F6"/>
          </w:tcPr>
          <w:p>
            <w:r>
              <w:rPr>
                <w:sz w:val="18"/>
              </w:rPr>
              <w:t>Restricted-file ratio</w:t>
            </w:r>
          </w:p>
        </w:tc>
        <w:tc>
          <w:tcPr>
            <w:tcW w:type="dxa" w:w="1296"/>
            <w:shd w:fill="EAF0F6"/>
          </w:tcPr>
          <w:p>
            <w:r>
              <w:rPr>
                <w:sz w:val="18"/>
              </w:rPr>
              <w:t>1.2%</w:t>
            </w:r>
          </w:p>
        </w:tc>
        <w:tc>
          <w:tcPr>
            <w:tcW w:type="dxa" w:w="1296"/>
            <w:shd w:fill="EAF0F6"/>
          </w:tcPr>
          <w:p>
            <w:r>
              <w:rPr>
                <w:sz w:val="18"/>
              </w:rPr>
              <w:t>15.0%</w:t>
            </w:r>
          </w:p>
        </w:tc>
        <w:tc>
          <w:tcPr>
            <w:tcW w:type="dxa" w:w="3888"/>
            <w:shd w:fill="EAF0F6"/>
          </w:tcPr>
          <w:p>
            <w:r>
              <w:rPr>
                <w:sz w:val="18"/>
              </w:rPr>
              <w:t>0.138 — a tiny numeric contribution</w:t>
            </w:r>
          </w:p>
        </w:tc>
      </w:tr>
      <w:tr>
        <w:tc>
          <w:tcPr>
            <w:tcW w:type="dxa" w:w="2736"/>
          </w:tcPr>
          <w:p>
            <w:r>
              <w:rPr>
                <w:sz w:val="18"/>
              </w:rPr>
              <w:t>Confidential-file ratio</w:t>
            </w:r>
          </w:p>
        </w:tc>
        <w:tc>
          <w:tcPr>
            <w:tcW w:type="dxa" w:w="1296"/>
          </w:tcPr>
          <w:p>
            <w:r>
              <w:rPr>
                <w:sz w:val="18"/>
              </w:rPr>
              <w:t>0.3%</w:t>
            </w:r>
          </w:p>
        </w:tc>
        <w:tc>
          <w:tcPr>
            <w:tcW w:type="dxa" w:w="1296"/>
          </w:tcPr>
          <w:p>
            <w:r>
              <w:rPr>
                <w:sz w:val="18"/>
              </w:rPr>
              <w:t>8.0%</w:t>
            </w:r>
          </w:p>
        </w:tc>
        <w:tc>
          <w:tcPr>
            <w:tcW w:type="dxa" w:w="3888"/>
          </w:tcPr>
          <w:p>
            <w:r>
              <w:rPr>
                <w:sz w:val="18"/>
              </w:rPr>
              <w:t>0.077 — a tiny numeric contribution</w:t>
            </w:r>
          </w:p>
        </w:tc>
      </w:tr>
      <w:tr>
        <w:tc>
          <w:tcPr>
            <w:tcW w:type="dxa" w:w="2736"/>
            <w:shd w:fill="EAF0F6"/>
          </w:tcPr>
          <w:p>
            <w:r>
              <w:rPr>
                <w:sz w:val="18"/>
              </w:rPr>
              <w:t>Feature-distance verdict</w:t>
            </w:r>
          </w:p>
        </w:tc>
        <w:tc>
          <w:tcPr>
            <w:tcW w:type="dxa" w:w="1296"/>
            <w:shd w:fill="EAF0F6"/>
          </w:tcPr>
          <w:p>
            <w:r>
              <w:rPr>
                <w:sz w:val="18"/>
              </w:rPr>
            </w:r>
          </w:p>
        </w:tc>
        <w:tc>
          <w:tcPr>
            <w:tcW w:type="dxa" w:w="1296"/>
            <w:shd w:fill="EAF0F6"/>
          </w:tcPr>
          <w:p>
            <w:r>
              <w:rPr>
                <w:sz w:val="18"/>
              </w:rPr>
            </w:r>
          </w:p>
        </w:tc>
        <w:tc>
          <w:tcPr>
            <w:tcW w:type="dxa" w:w="3888"/>
            <w:shd w:fill="EAF0F6"/>
          </w:tcPr>
          <w:p>
            <w:r>
              <w:rPr>
                <w:sz w:val="18"/>
              </w:rPr>
              <w:t>"Nothing changed."</w:t>
            </w:r>
          </w:p>
        </w:tc>
      </w:tr>
    </w:tbl>
    <w:p/>
    <w:p>
      <w:pPr>
        <w:spacing w:after="120"/>
      </w:pPr>
      <w:r>
        <w:rPr>
          <w:b w:val="0"/>
          <w:i w:val="0"/>
          <w:color w:val="000000"/>
          <w:sz w:val="21"/>
        </w:rPr>
        <w:t>The file count is identical, so it contributes zero. The restricted ratio rose more than twelve-fold, but in raw numeric terms that is a small distance next to high-variance features such as bytes transferred. A feature-distance detector concludes nothing happened.</w:t>
      </w:r>
    </w:p>
    <w:p>
      <w:pPr>
        <w:spacing w:after="120"/>
      </w:pPr>
      <w:r>
        <w:rPr>
          <w:b w:val="0"/>
          <w:i w:val="0"/>
          <w:color w:val="000000"/>
          <w:sz w:val="21"/>
        </w:rPr>
        <w:t>Read as language, the same two weeks describe a different person: "30 files, 1.2% restricted, 0.3% confidential" becomes "30 files, 15% restricted, 8% confidential" — an operator who moved from public to sensitive material. That is a large change in MEANING, and the entity embedding moves accordingly. The insider changed WHAT they accessed, not HOW MUCH — invisible to magnitude, obvious to semantics.</w:t>
      </w:r>
    </w:p>
    <w:p>
      <w:r>
        <w:br w:type="page"/>
      </w:r>
    </w:p>
    <w:p>
      <w:pPr>
        <w:pStyle w:val="Heading1"/>
      </w:pPr>
      <w:r>
        <w:rPr>
          <w:color w:val="0D1B2A"/>
        </w:rPr>
        <w:t>6. Empirical Validation</w:t>
      </w:r>
    </w:p>
    <w:p>
      <w:pPr>
        <w:spacing w:after="120"/>
      </w:pPr>
      <w:r>
        <w:rPr>
          <w:b w:val="0"/>
          <w:i w:val="0"/>
          <w:color w:val="000000"/>
          <w:sz w:val="21"/>
        </w:rPr>
        <w:t>Validation used 250 entities over 485 days of synthetic telemetry with 4 embedded attack campaigns. The composite scorer produces a single ranked list; the table below shows where each embedded campaign landed and how it was caught.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51.3</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19.4</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#24 of 250</w:t>
            </w:r>
          </w:p>
        </w:tc>
        <w:tc>
          <w:tcPr>
            <w:tcW w:type="dxa" w:w="1440"/>
            <w:shd w:fill="EAF0F6"/>
          </w:tcPr>
          <w:p>
            <w:r>
              <w:rPr>
                <w:sz w:val="18"/>
              </w:rPr>
              <w:t>13.7</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of 4 embedded campaigns surfaced in the ranked output at an 8.1% false-positive rate (20 of 246 normal entities at the recall-at-100% operating point). Traditional Traditional magnitude-based detectors can flag anomalies but provide no directional intelligence to distinguish threat type or guide analyst triage.</w:t>
      </w:r>
    </w:p>
    <w:p>
      <w:pPr>
        <w:pStyle w:val="Heading2"/>
      </w:pPr>
      <w:r>
        <w:rPr>
          <w:color w:val="1B4F72"/>
        </w:rPr>
        <w:t>6.1  Case Study — The Slow APT That Magnitude Cannot See</w:t>
      </w:r>
    </w:p>
    <w:p>
      <w:pPr>
        <w:spacing w:after="120"/>
      </w:pPr>
      <w:r>
        <w:rPr>
          <w:b w:val="0"/>
          <w:i w:val="0"/>
          <w:color w:val="000000"/>
          <w:sz w:val="21"/>
        </w:rPr>
        <w:t>USR-234 (Slow APT (417-day C2 beaconing)) is the hardest case in the corpus. Its per-day footprint is tiny: two to three beacons a day to algorithmically-generated domains, with slow file staging. Its raw signal strength is among the lowest of any entity — a magnitude detector ranks it as unremarkable.</w:t>
      </w:r>
    </w:p>
    <w:p>
      <w:pPr>
        <w:spacing w:after="120"/>
      </w:pPr>
      <w:r>
        <w:rPr>
          <w:b w:val="0"/>
          <w:i w:val="0"/>
          <w:color w:val="000000"/>
          <w:sz w:val="21"/>
        </w:rPr>
        <w:t>Behavioral Entity Intelligence still ranks it #7 of 250, driven almost entirely by novelty persistence: the same never-before-seen infrastructure reappearing week after week. This is the axis no threshold tool measures, and it is the difference between catching a 417-day intrusion and missing it.</w:t>
      </w:r>
    </w:p>
    <w:p>
      <w:r>
        <w:br w:type="page"/>
      </w:r>
    </w:p>
    <w:p>
      <w:pPr>
        <w:pStyle w:val="Heading1"/>
      </w:pPr>
      <w:r>
        <w:rPr>
          <w:color w:val="0D1B2A"/>
        </w:rPr>
        <w:t>7. What This Enables for Your Mission</w:t>
      </w:r>
    </w:p>
    <w:p>
      <w:pPr>
        <w:spacing w:after="120"/>
      </w:pPr>
      <w:r>
        <w:rPr>
          <w:b w:val="0"/>
          <w:i w:val="0"/>
          <w:color w:val="000000"/>
          <w:sz w:val="21"/>
        </w:rPr>
        <w:t>We answer that question by modeling each user, device, and account as a digital entity whose behavior is embedded as language, decomposed into independent zones, and tracked as a trajectory through semantic space.</w:t>
      </w:r>
    </w:p>
    <w:p>
      <w:pPr>
        <w:spacing w:after="40"/>
      </w:pPr>
      <w:r>
        <w:rPr>
          <w:b w:val="0"/>
          <w:i w:val="0"/>
          <w:color w:val="000000"/>
          <w:sz w:val="21"/>
        </w:rPr>
        <w:t>Concretely, the platform lets your analysts:</w:t>
      </w:r>
    </w:p>
    <w:p>
      <w:pPr>
        <w:pStyle w:val="ListBullet"/>
        <w:ind w:left="360"/>
      </w:pPr>
      <w:r>
        <w:rPr>
          <w:b/>
          <w:sz w:val="21"/>
        </w:rPr>
        <w:t xml:space="preserve">Triage by risk: </w:t>
      </w:r>
      <w:r>
        <w:rPr>
          <w:sz w:val="21"/>
        </w:rPr>
        <w:t>Replace a daily flood of threshold alerts with one risk-ranked list of entities.</w:t>
      </w:r>
    </w:p>
    <w:p>
      <w:pPr>
        <w:pStyle w:val="ListBullet"/>
        <w:ind w:left="360"/>
      </w:pPr>
      <w:r>
        <w:rPr>
          <w:b/>
          <w:sz w:val="21"/>
        </w:rPr>
        <w:t xml:space="preserve">Explainable verdicts: </w:t>
      </w:r>
      <w:r>
        <w:rPr>
          <w:sz w:val="21"/>
        </w:rPr>
        <w:t>See WHY an entity is flagged, in plain language mapped to MITRE ATT&amp;CK — not an opaque score.</w:t>
      </w:r>
    </w:p>
    <w:p>
      <w:pPr>
        <w:pStyle w:val="ListBullet"/>
        <w:ind w:left="360"/>
      </w:pPr>
      <w:r>
        <w:rPr>
          <w:b/>
          <w:sz w:val="21"/>
        </w:rPr>
        <w:t xml:space="preserve">Slow-and-low coverage: </w:t>
      </w:r>
      <w:r>
        <w:rPr>
          <w:sz w:val="21"/>
        </w:rPr>
        <w:t>Catch slow insiders and APTs that stay inside every threshold for months.</w:t>
      </w:r>
    </w:p>
    <w:p>
      <w:pPr>
        <w:pStyle w:val="ListBullet"/>
        <w:ind w:left="360"/>
      </w:pPr>
      <w:r>
        <w:rPr>
          <w:b/>
          <w:sz w:val="21"/>
        </w:rPr>
        <w:t xml:space="preserve">Context-adaptive: </w:t>
      </w:r>
      <w:r>
        <w:rPr>
          <w:sz w:val="21"/>
        </w:rPr>
        <w:t>Re-weight detection for the hunt at hand (insider vs. APT) without retraining.</w:t>
      </w:r>
    </w:p>
    <w:p>
      <w:pPr>
        <w:pStyle w:val="ListBullet"/>
        <w:ind w:left="360"/>
      </w:pPr>
      <w:r>
        <w:rPr>
          <w:b/>
          <w:sz w:val="21"/>
        </w:rPr>
        <w:t xml:space="preserve">Deployable where you operate: </w:t>
      </w:r>
      <w:r>
        <w:rPr>
          <w:sz w:val="21"/>
        </w:rPr>
        <w:t>Run on-premises / in an enclave; the platform is containerized and can use a local embedding model.</w:t>
      </w:r>
    </w:p>
    <w:p>
      <w:pPr>
        <w:pStyle w:val="Heading2"/>
      </w:pPr>
      <w:r>
        <w:rPr>
          <w:color w:val="1B4F72"/>
        </w:rPr>
        <w:t>7.1  Deployment Path</w:t>
      </w:r>
    </w:p>
    <w:p>
      <w:pPr>
        <w:pStyle w:val="ListBullet"/>
        <w:ind w:left="360"/>
      </w:pPr>
      <w:r>
        <w:rPr>
          <w:b/>
          <w:sz w:val="21"/>
        </w:rPr>
        <w:t xml:space="preserve">Phase 1 — Baseline: </w:t>
      </w:r>
      <w:r>
        <w:rPr>
          <w:sz w:val="21"/>
        </w:rPr>
        <w:t>Stand up the pipeline against a historical telemetry window to establish baselines.</w:t>
      </w:r>
    </w:p>
    <w:p>
      <w:pPr>
        <w:pStyle w:val="ListBullet"/>
        <w:ind w:left="360"/>
      </w:pPr>
      <w:r>
        <w:rPr>
          <w:b/>
          <w:sz w:val="21"/>
        </w:rPr>
        <w:t xml:space="preserve">Phase 2 — Shadow: </w:t>
      </w:r>
      <w:r>
        <w:rPr>
          <w:sz w:val="21"/>
        </w:rPr>
        <w:t>Run in shadow alongside the existing SIEM; compare ranked output to current alerting.</w:t>
      </w:r>
    </w:p>
    <w:p>
      <w:pPr>
        <w:pStyle w:val="ListBullet"/>
        <w:ind w:left="360"/>
      </w:pPr>
      <w:r>
        <w:rPr>
          <w:b/>
          <w:sz w:val="21"/>
        </w:rPr>
        <w:t xml:space="preserve">Phase 3 — Operate: </w:t>
      </w:r>
      <w:r>
        <w:rPr>
          <w:sz w:val="21"/>
        </w:rPr>
        <w:t>Feed ranked verdicts into SOC triage and (for DISA) Zero Trust access decisions.</w:t>
      </w:r>
    </w:p>
    <w:p>
      <w:pPr>
        <w:pStyle w:val="Heading2"/>
      </w:pPr>
      <w:r>
        <w:rPr>
          <w:color w:val="1B4F72"/>
        </w:rPr>
        <w:t>7.2  Why This Is Different — Competitive Landscape and Defensible Novelty</w:t>
      </w:r>
    </w:p>
    <w:p>
      <w:pPr>
        <w:spacing w:after="120"/>
      </w:pPr>
      <w:r>
        <w:rPr>
          <w:b w:val="0"/>
          <w:i w:val="0"/>
          <w:color w:val="000000"/>
          <w:sz w:val="21"/>
        </w:rPr>
        <w:t>A structured, source-verified review (2024–2026) of commercial products and the published literature found no commercially marketed system, and no single published method, that combines all elements of this approach. Publicly described commercial UEBA — Exabeam, Securonix, Microsoft Sentinel UEBA — detects via statistical / p-value profiling, machine-learning baselines, rarity- and magnitude-based scores, and TF-IDF peer grouping; their generative-AI features are SOC copilots and conversational layers, not the detection mechanism. Commercial demand / supply-chain platforms (SAP IBP, o9, Kinaxis) forecast with gradient-boosted trees and machine learning over tabular features on knowledge-graph data models, with generative AI again only as a conversational layer.</w:t>
      </w:r>
    </w:p>
    <w:p>
      <w:pPr>
        <w:spacing w:after="120"/>
      </w:pPr>
      <w:r>
        <w:rPr>
          <w:b w:val="0"/>
          <w:i w:val="0"/>
          <w:color w:val="000000"/>
          <w:sz w:val="21"/>
        </w:rPr>
        <w:t>We are explicit about prior art: the constituent techniques are individually established — LLM-embedding of serialized behavior (APT-LLM; LogBERT), serialize-to-prose-then-embed (TabLLM family), embed-then-detect pipelines (TAD-Bench), and embedding drift by cosine distance (ZEDD). Each, however, detects by MAGNITUDE and operates in a single domain; none projects the DIRECTION of drift onto named, pre-embedded threat concepts mapped to MITRE ATT&amp;CK, nor spans cyber and supply-chain entities in one space.</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platform and no single published system detects anomalies by the DIRECTION of behavioral drift in a unified, cross-domain semantic space. The contribution is the integrated architecture and the concept-direction (not magnitude/rarity) paradigm, not any single technique. (A formal patent / freedom-to-operate review is recommended before any contractual assertion of uniqueness.)</w:t>
      </w:r>
    </w:p>
    <w:p>
      <w:r>
        <w:br w:type="page"/>
      </w:r>
    </w:p>
    <w:p>
      <w:pPr>
        <w:pStyle w:val="Heading1"/>
      </w:pPr>
      <w:r>
        <w:rPr>
          <w:color w:val="0D1B2A"/>
        </w:rPr>
        <w:t>8. References and Further Reading</w:t>
      </w:r>
    </w:p>
    <w:p>
      <w:pPr>
        <w:pStyle w:val="ListBullet"/>
        <w:ind w:left="360"/>
      </w:pPr>
      <w:r>
        <w:rPr>
          <w:b/>
          <w:sz w:val="21"/>
        </w:rPr>
        <w:t xml:space="preserve">[1] </w:t>
      </w:r>
      <w:r>
        <w:rPr>
          <w:sz w:val="21"/>
        </w:rPr>
        <w:t>CISA AA23-144A, 'People's Republic of China State-Sponsored Cyber Actor Living off the Land' (Volt Typhoon).</w:t>
      </w:r>
    </w:p>
    <w:p>
      <w:pPr>
        <w:pStyle w:val="ListBullet"/>
        <w:ind w:left="360"/>
      </w:pPr>
      <w:r>
        <w:rPr>
          <w:b/>
          <w:sz w:val="21"/>
        </w:rPr>
        <w:t xml:space="preserve">[2] </w:t>
      </w:r>
      <w:r>
        <w:rPr>
          <w:sz w:val="21"/>
        </w:rPr>
        <w:t>MITRE ATT&amp;CK Framework, Enterprise Matrix. attack.mitre.org.</w:t>
      </w:r>
    </w:p>
    <w:p>
      <w:pPr>
        <w:pStyle w:val="ListBullet"/>
        <w:ind w:left="360"/>
      </w:pPr>
      <w:r>
        <w:rPr>
          <w:b/>
          <w:sz w:val="21"/>
        </w:rPr>
        <w:t xml:space="preserve">[3] </w:t>
      </w:r>
      <w:r>
        <w:rPr>
          <w:sz w:val="21"/>
        </w:rPr>
        <w:t>Prior-art (constituent techniques, individually established): APT-LLM (arXiv:2502.09385); LogBERT (arXiv:2103.04475); TAD-Bench embed-then-detect (arXiv:2501.11960); TabLLM-family serialize-to-prose-embed (arXiv:2502.11596); ZEDD embedding drift (arXiv:2601.12359).</w:t>
      </w:r>
    </w:p>
    <w:p>
      <w:pPr>
        <w:pStyle w:val="ListBullet"/>
        <w:ind w:left="360"/>
      </w:pPr>
      <w:r>
        <w:rPr>
          <w:b/>
          <w:sz w:val="21"/>
        </w:rPr>
        <w:t xml:space="preserve">[4] </w:t>
      </w:r>
      <w:r>
        <w:rPr>
          <w:sz w:val="21"/>
        </w:rPr>
        <w:t>Competitive landscape (publicly described methodology): Exabeam, Securonix, Microsoft Sentinel UEBA; SAP IBP, o9, Kinaxis demand platforms.</w:t>
      </w:r>
    </w:p>
    <w:p>
      <w:pPr>
        <w:pStyle w:val="ListBullet"/>
        <w:ind w:left="360"/>
      </w:pPr>
      <w:r>
        <w:rPr>
          <w:b/>
          <w:sz w:val="21"/>
        </w:rPr>
        <w:t xml:space="preserve">[5] </w:t>
      </w:r>
      <w:r>
        <w:rPr>
          <w:sz w:val="21"/>
        </w:rPr>
        <w:t>NIST SP 800-207, 'Zero Trust Architecture,' 2020.</w:t>
      </w:r>
    </w:p>
    <w:p>
      <w:pPr>
        <w:pStyle w:val="ListBullet"/>
        <w:ind w:left="360"/>
      </w:pPr>
      <w:r>
        <w:rPr>
          <w:b/>
          <w:sz w:val="21"/>
        </w:rPr>
        <w:t xml:space="preserve">[6] </w:t>
      </w:r>
      <w:r>
        <w:rPr>
          <w:sz w:val="21"/>
        </w:rPr>
        <w:t>OMB M-22-09, 'Moving the U.S. Government Toward Zero Trust Cybersecurity Principles,' 2022.</w:t>
      </w:r>
    </w:p>
    <w:p>
      <w:pPr>
        <w:pStyle w:val="ListBullet"/>
        <w:ind w:left="360"/>
      </w:pPr>
      <w:r>
        <w:rPr>
          <w:b/>
          <w:sz w:val="21"/>
        </w:rPr>
        <w:t xml:space="preserve">[7] </w:t>
      </w:r>
      <w:r>
        <w:rPr>
          <w:sz w:val="21"/>
        </w:rPr>
        <w:t>E. S. Page, 'Continuous Inspection Schemes,' Biometrika, 1954 (CUSUM).</w:t>
      </w:r>
    </w:p>
    <w:p>
      <w:pPr>
        <w:pStyle w:val="ListBullet"/>
        <w:ind w:left="360"/>
      </w:pPr>
      <w:r>
        <w:rPr>
          <w:b/>
          <w:sz w:val="21"/>
        </w:rPr>
        <w:t xml:space="preserve">[8] </w:t>
      </w:r>
      <w:r>
        <w:rPr>
          <w:sz w:val="21"/>
        </w:rPr>
        <w:t>V-Intelligence UEBA Technical Specification (companion document, NDA edition).</w:t>
      </w:r>
    </w:p>
    <w:p/>
    <w:p>
      <w:pPr>
        <w:spacing w:after="120"/>
      </w:pPr>
      <w:r>
        <w:rPr>
          <w:b w:val="0"/>
          <w:i/>
          <w:color w:val="444444"/>
          <w:sz w:val="21"/>
        </w:rPr>
        <w:t>This is a conceptual overview. Architectural detail, the system design, and empirical method are available in the Architectural and NDA editions of this paper on request.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