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Prescriptive Maintenance for Defense Platforms:</w:t>
        <w:br/>
        <w:t>The Traditional Approach vs. Behavioral Entity Intelligence</w:t>
      </w:r>
    </w:p>
    <w:p>
      <w:pPr>
        <w:spacing w:after="40"/>
      </w:pPr>
      <w:r>
        <w:rPr>
          <w:b w:val="0"/>
          <w:i w:val="0"/>
          <w:color w:val="555F6B"/>
          <w:sz w:val="25"/>
        </w:rPr>
        <w:t>A business and technology overview — what the innovation is, what it is designed to deliver, and what the evidence base shows</w:t>
      </w:r>
    </w:p>
    <w:p>
      <w:pPr>
        <w:spacing w:after="40"/>
      </w:pPr>
      <w:r>
        <w:rPr>
          <w:b w:val="0"/>
          <w:i w:val="0"/>
          <w:color w:val="555F6B"/>
          <w:sz w:val="19"/>
        </w:rPr>
        <w:t>22nd Century Technologies, Inc.  ·  V-Intelligence Program  ·  Prepared for DLA | US Army | USSOCOM  ·  June 2026  ·  Business Edition</w:t>
      </w:r>
    </w:p>
    <w:p>
      <w:pPr>
        <w:spacing w:after="80"/>
      </w:pPr>
      <w:r>
        <w:rPr>
          <w:b w:val="0"/>
          <w:i/>
          <w:color w:val="C25A12"/>
          <w:sz w:val="19"/>
        </w:rPr>
        <w:t>Disclosure note: this edition describes the architecture and the innovation at a conceptual level. The exact model logic — the drift mathematics, zone composition, regime-classification criteria, thresholds, and adjustment parameters — is proprietary and is withheld here; it is available in the full technical edition under NDA (non-disclosure agreement).</w:t>
      </w:r>
    </w:p>
    <w:p>
      <w:pPr>
        <w:spacing w:after="160"/>
      </w:pPr>
      <w:r>
        <w:rPr>
          <w:b w:val="0"/>
          <w:i/>
          <w:color w:val="C25A12"/>
          <w:sz w:val="19"/>
        </w:rPr>
        <w:t>Evidence note: this is a concept paper. The behavioral framework it applies is proven in an operational cybersecurity deployment and applied in defense demand forecasting; no maintenance-specific proof of concept has yet been conducted. All improvement ranges quoted are documented benchmarks from predictive- and condition-based-maintenance programs across defense and industry — they describe the opportunity, not measured BEI results.</w:t>
      </w:r>
    </w:p>
    <w:p>
      <w:pPr>
        <w:spacing w:before="280" w:after="80"/>
      </w:pPr>
      <w:r>
        <w:rPr>
          <w:b/>
          <w:color w:val="0B1F3A"/>
          <w:sz w:val="30"/>
        </w:rPr>
        <w:t>1.  Executive Summary</w:t>
      </w:r>
    </w:p>
    <w:p>
      <w:pPr>
        <w:spacing w:after="120"/>
      </w:pPr>
      <w:r>
        <w:rPr>
          <w:b w:val="0"/>
          <w:i w:val="0"/>
          <w:sz w:val="21"/>
        </w:rPr>
        <w:t>When a generator fails at a Forward Operating Base (a deployed military outpost), when a Stryker armored vehicle's drivetrain seizes during a tactical movement, when an F-35 engine needs unplanned work during sustained operations — the cost is not just dollars. It is mission capability, operational tempo, and the safety of the people who depend on that equipment. Unplanned maintenance typically costs 3–10 times the equivalent planned maintenance, and according to Government Accountability Office (GAO) analyses, roughly 40% of maintenance delays are parts-related: the mechanic knows what is broken but the part is not in stock at the right location.</w:t>
      </w:r>
    </w:p>
    <w:p>
      <w:pPr>
        <w:spacing w:after="120"/>
      </w:pPr>
      <w:r>
        <w:rPr>
          <w:b w:val="0"/>
          <w:i w:val="0"/>
          <w:sz w:val="21"/>
        </w:rPr>
        <w:t>Today's best practice, condition-based maintenance (CBM), watches each sensor against a fixed limit: temperature must stay below 200°F, vibration below 0.5g, oil pressure above 40 PSI (pounds per square inch). But equipment usually fails because the relationship between readings changes — not because any single reading crosses a line. A turbine can run comfortably below every threshold while its vibration-to-temperature relationship drifts steadily for weeks. No alarm fires. The failure arrives "without warning" — except the warning was there all along, in a place threshold monitoring cannot look.</w:t>
      </w:r>
    </w:p>
    <w:p>
      <w:pPr>
        <w:spacing w:after="120"/>
      </w:pPr>
      <w:r>
        <w:rPr>
          <w:b w:val="0"/>
          <w:i w:val="0"/>
          <w:sz w:val="21"/>
        </w:rPr>
        <w:t>Behavioral Entity Intelligence (BEI) gives every piece of equipment — identified by its individual serial number, not just its model — a digital entity: a living behavioral profile, like a patient's medical chart. A chart does not just record today's temperature; it accumulates history and context, and a doctor reads its trend to act before a condition becomes acute. BEI reads how each unit behaves across five behavioral zones, tracks how that behavior is moving over time, and classifies each unit into one of four health regimes. Critically, it then closes the loop with the supply chain: a forming failure automatically tells the Defense Logistics Agency (DLA) what part will be needed, when, and where to stage it — weeks before the work order exists.</w:t>
      </w:r>
    </w:p>
    <w:p>
      <w:pPr>
        <w:spacing w:after="120"/>
      </w:pPr>
      <w:r>
        <w:rPr>
          <w:b/>
          <w:i w:val="0"/>
          <w:sz w:val="21"/>
        </w:rPr>
        <w:t>The innovation in one line: traditional maintenance asks "is any reading out of spec?"; BEI asks "is this specific unit's behavior changing direction?" — and turns the answer into a maintenance action and a parts shipment, early.</w:t>
      </w:r>
    </w:p>
    <w:p>
      <w:pPr>
        <w:pStyle w:val="ListBullet"/>
        <w:spacing w:after="60"/>
      </w:pPr>
      <w:r>
        <w:rPr>
          <w:b/>
          <w:sz w:val="21"/>
        </w:rPr>
        <w:t xml:space="preserve">Early warning. </w:t>
      </w:r>
      <w:r>
        <w:rPr>
          <w:sz w:val="21"/>
        </w:rPr>
        <w:t xml:space="preserve"> Relationship drift between sensors is the failure precursor; BEI is designed to surface it weeks before any individual threshold trips.</w:t>
      </w:r>
    </w:p>
    <w:p>
      <w:pPr>
        <w:pStyle w:val="ListBullet"/>
        <w:spacing w:after="60"/>
      </w:pPr>
      <w:r>
        <w:rPr>
          <w:b/>
          <w:sz w:val="21"/>
        </w:rPr>
        <w:t xml:space="preserve">Specific diagnosis. </w:t>
      </w:r>
      <w:r>
        <w:rPr>
          <w:sz w:val="21"/>
        </w:rPr>
        <w:t xml:space="preserve"> Which zone drifts (and which stay stable) identifies the specific failing component — and therefore the specific part to order.</w:t>
      </w:r>
    </w:p>
    <w:p>
      <w:pPr>
        <w:pStyle w:val="ListBullet"/>
        <w:spacing w:after="60"/>
      </w:pPr>
      <w:r>
        <w:rPr>
          <w:b/>
          <w:sz w:val="21"/>
        </w:rPr>
        <w:t xml:space="preserve">Supply chain integration. </w:t>
      </w:r>
      <w:r>
        <w:rPr>
          <w:sz w:val="21"/>
        </w:rPr>
        <w:t xml:space="preserve"> Predicted failures become demand signals to DLA, converting emergency orders into planned ones. Documented predictive-maintenance programs report 40–60% fewer unplanned failures and 25–40% lower maintenance cost.</w:t>
      </w:r>
    </w:p>
    <w:p>
      <w:pPr>
        <w:spacing w:before="280" w:after="80"/>
      </w:pPr>
      <w:r>
        <w:rPr>
          <w:b/>
          <w:color w:val="0B1F3A"/>
          <w:sz w:val="30"/>
        </w:rPr>
        <w:t>2.  The Problem — Climbing the Maintenance Ladder</w:t>
      </w:r>
    </w:p>
    <w:p>
      <w:pPr>
        <w:spacing w:after="120"/>
      </w:pPr>
      <w:r>
        <w:rPr>
          <w:b w:val="0"/>
          <w:i w:val="0"/>
          <w:sz w:val="21"/>
        </w:rPr>
        <w:t>Maintenance philosophy has climbed a ladder over decades, each rung answering a better question:</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0B1F3A"/>
          </w:tcPr>
          <w:p>
            <w:pPr>
              <w:spacing w:after="40" w:before="40"/>
            </w:pPr>
            <w:r/>
            <w:r>
              <w:rPr>
                <w:rFonts w:ascii="Calibri" w:hAnsi="Calibri"/>
                <w:b/>
                <w:color w:val="FFFFFF"/>
                <w:sz w:val="19"/>
              </w:rPr>
              <w:t>Rung</w:t>
            </w:r>
          </w:p>
        </w:tc>
        <w:tc>
          <w:tcPr>
            <w:tcW w:type="dxa" w:w="2736"/>
            <w:shd w:val="clear" w:fill="0B1F3A"/>
          </w:tcPr>
          <w:p>
            <w:pPr>
              <w:spacing w:after="40" w:before="40"/>
            </w:pPr>
            <w:r/>
            <w:r>
              <w:rPr>
                <w:rFonts w:ascii="Calibri" w:hAnsi="Calibri"/>
                <w:b/>
                <w:color w:val="FFFFFF"/>
                <w:sz w:val="19"/>
              </w:rPr>
              <w:t>Question it answers</w:t>
            </w:r>
          </w:p>
        </w:tc>
        <w:tc>
          <w:tcPr>
            <w:tcW w:type="dxa" w:w="5184"/>
            <w:shd w:val="clear" w:fill="0B1F3A"/>
          </w:tcPr>
          <w:p>
            <w:pPr>
              <w:spacing w:after="40" w:before="40"/>
            </w:pPr>
            <w:r/>
            <w:r>
              <w:rPr>
                <w:rFonts w:ascii="Calibri" w:hAnsi="Calibri"/>
                <w:b/>
                <w:color w:val="FFFFFF"/>
                <w:sz w:val="19"/>
              </w:rPr>
              <w:t>In plain terms</w:t>
            </w:r>
          </w:p>
        </w:tc>
      </w:tr>
      <w:tr>
        <w:tc>
          <w:tcPr>
            <w:tcW w:type="dxa" w:w="2016"/>
            <w:shd w:val="clear" w:fill="F4F6F8"/>
          </w:tcPr>
          <w:p>
            <w:pPr>
              <w:spacing w:after="40" w:before="40"/>
            </w:pPr>
            <w:r/>
            <w:r>
              <w:rPr>
                <w:rFonts w:ascii="Calibri" w:hAnsi="Calibri"/>
                <w:b/>
                <w:sz w:val="19"/>
              </w:rPr>
              <w:t>Reactive</w:t>
            </w:r>
          </w:p>
        </w:tc>
        <w:tc>
          <w:tcPr>
            <w:tcW w:type="dxa" w:w="2736"/>
          </w:tcPr>
          <w:p>
            <w:pPr>
              <w:spacing w:after="40" w:before="40"/>
            </w:pPr>
            <w:r/>
            <w:r>
              <w:rPr>
                <w:rFonts w:ascii="Calibri" w:hAnsi="Calibri"/>
                <w:b w:val="0"/>
                <w:sz w:val="19"/>
              </w:rPr>
              <w:t>"What broke?"</w:t>
            </w:r>
          </w:p>
        </w:tc>
        <w:tc>
          <w:tcPr>
            <w:tcW w:type="dxa" w:w="5184"/>
          </w:tcPr>
          <w:p>
            <w:pPr>
              <w:spacing w:after="40" w:before="40"/>
            </w:pPr>
            <w:r/>
            <w:r>
              <w:rPr>
                <w:rFonts w:ascii="Calibri" w:hAnsi="Calibri"/>
                <w:b w:val="0"/>
                <w:sz w:val="19"/>
              </w:rPr>
              <w:t>Run equipment until it fails, then fix it. Cheapest to set up, most expensive to live with: emergency repairs, secondary damage, missions lost.</w:t>
            </w:r>
          </w:p>
        </w:tc>
      </w:tr>
      <w:tr>
        <w:tc>
          <w:tcPr>
            <w:tcW w:type="dxa" w:w="2016"/>
            <w:shd w:val="clear" w:fill="F4F6F8"/>
          </w:tcPr>
          <w:p>
            <w:pPr>
              <w:spacing w:after="40" w:before="40"/>
            </w:pPr>
            <w:r/>
            <w:r>
              <w:rPr>
                <w:rFonts w:ascii="Calibri" w:hAnsi="Calibri"/>
                <w:b/>
                <w:sz w:val="19"/>
              </w:rPr>
              <w:t>Preventive</w:t>
            </w:r>
          </w:p>
        </w:tc>
        <w:tc>
          <w:tcPr>
            <w:tcW w:type="dxa" w:w="2736"/>
          </w:tcPr>
          <w:p>
            <w:pPr>
              <w:spacing w:after="40" w:before="40"/>
            </w:pPr>
            <w:r/>
            <w:r>
              <w:rPr>
                <w:rFonts w:ascii="Calibri" w:hAnsi="Calibri"/>
                <w:b w:val="0"/>
                <w:sz w:val="19"/>
              </w:rPr>
              <w:t>"What is due?"</w:t>
            </w:r>
          </w:p>
        </w:tc>
        <w:tc>
          <w:tcPr>
            <w:tcW w:type="dxa" w:w="5184"/>
          </w:tcPr>
          <w:p>
            <w:pPr>
              <w:spacing w:after="40" w:before="40"/>
            </w:pPr>
            <w:r/>
            <w:r>
              <w:rPr>
                <w:rFonts w:ascii="Calibri" w:hAnsi="Calibri"/>
                <w:b w:val="0"/>
                <w:sz w:val="19"/>
              </w:rPr>
              <w:t>Replace parts on a fixed schedule (hours, miles, calendar) whether they need it or not. Avoids some failures, wastes healthy parts, still misses early failures.</w:t>
            </w:r>
          </w:p>
        </w:tc>
      </w:tr>
      <w:tr>
        <w:tc>
          <w:tcPr>
            <w:tcW w:type="dxa" w:w="2016"/>
            <w:shd w:val="clear" w:fill="F4F6F8"/>
          </w:tcPr>
          <w:p>
            <w:pPr>
              <w:spacing w:after="40" w:before="40"/>
            </w:pPr>
            <w:r/>
            <w:r>
              <w:rPr>
                <w:rFonts w:ascii="Calibri" w:hAnsi="Calibri"/>
                <w:b/>
                <w:sz w:val="19"/>
              </w:rPr>
              <w:t>Predictive (CBM)</w:t>
            </w:r>
          </w:p>
        </w:tc>
        <w:tc>
          <w:tcPr>
            <w:tcW w:type="dxa" w:w="2736"/>
          </w:tcPr>
          <w:p>
            <w:pPr>
              <w:spacing w:after="40" w:before="40"/>
            </w:pPr>
            <w:r/>
            <w:r>
              <w:rPr>
                <w:rFonts w:ascii="Calibri" w:hAnsi="Calibri"/>
                <w:b w:val="0"/>
                <w:sz w:val="19"/>
              </w:rPr>
              <w:t>"What is out of spec?"</w:t>
            </w:r>
          </w:p>
        </w:tc>
        <w:tc>
          <w:tcPr>
            <w:tcW w:type="dxa" w:w="5184"/>
          </w:tcPr>
          <w:p>
            <w:pPr>
              <w:spacing w:after="40" w:before="40"/>
            </w:pPr>
            <w:r/>
            <w:r>
              <w:rPr>
                <w:rFonts w:ascii="Calibri" w:hAnsi="Calibri"/>
                <w:b w:val="0"/>
                <w:sz w:val="19"/>
              </w:rPr>
              <w:t>Monitor actual condition with sensors; act when a reading crosses a limit. Today's military best practice — but it watches readings one at a time.</w:t>
            </w:r>
          </w:p>
        </w:tc>
      </w:tr>
      <w:tr>
        <w:tc>
          <w:tcPr>
            <w:tcW w:type="dxa" w:w="2016"/>
            <w:shd w:val="clear" w:fill="F4F6F8"/>
          </w:tcPr>
          <w:p>
            <w:pPr>
              <w:spacing w:after="40" w:before="40"/>
            </w:pPr>
            <w:r/>
            <w:r>
              <w:rPr>
                <w:rFonts w:ascii="Calibri" w:hAnsi="Calibri"/>
                <w:b/>
                <w:sz w:val="19"/>
              </w:rPr>
              <w:t>Prescriptive (BEI)</w:t>
            </w:r>
          </w:p>
        </w:tc>
        <w:tc>
          <w:tcPr>
            <w:tcW w:type="dxa" w:w="2736"/>
          </w:tcPr>
          <w:p>
            <w:pPr>
              <w:spacing w:after="40" w:before="40"/>
            </w:pPr>
            <w:r/>
            <w:r>
              <w:rPr>
                <w:rFonts w:ascii="Calibri" w:hAnsi="Calibri"/>
                <w:b w:val="0"/>
                <w:sz w:val="19"/>
              </w:rPr>
              <w:t>"What is changing, what do I do, and what do I ship?"</w:t>
            </w:r>
          </w:p>
        </w:tc>
        <w:tc>
          <w:tcPr>
            <w:tcW w:type="dxa" w:w="5184"/>
          </w:tcPr>
          <w:p>
            <w:pPr>
              <w:spacing w:after="40" w:before="40"/>
            </w:pPr>
            <w:r/>
            <w:r>
              <w:rPr>
                <w:rFonts w:ascii="Calibri" w:hAnsi="Calibri"/>
                <w:b w:val="0"/>
                <w:sz w:val="19"/>
              </w:rPr>
              <w:t>Read behavioral direction, diagnose the specific failing component, schedule the fix, and pre-position the parts — all before failure.</w:t>
            </w:r>
          </w:p>
        </w:tc>
      </w:tr>
    </w:tbl>
    <w:p>
      <w:pPr>
        <w:spacing w:after="40"/>
      </w:pPr>
    </w:p>
    <w:p>
      <w:pPr>
        <w:spacing w:after="120"/>
      </w:pPr>
      <w:r>
        <w:rPr>
          <w:b w:val="0"/>
          <w:i w:val="0"/>
          <w:sz w:val="21"/>
        </w:rPr>
        <w:t>The gap this paper addresses is the step from the third rung to the fourth: from "a reading crossed a line" to "this unit is heading toward a specific failure, here is the action, and the part is already moving."</w:t>
      </w:r>
    </w:p>
    <w:p>
      <w:pPr>
        <w:spacing w:before="160" w:after="60"/>
      </w:pPr>
      <w:r>
        <w:rPr>
          <w:b/>
          <w:color w:val="C25A12"/>
          <w:sz w:val="24"/>
        </w:rPr>
        <w:t>Why condition-based maintenance misses failures</w:t>
      </w:r>
    </w:p>
    <w:p>
      <w:pPr>
        <w:pStyle w:val="ListBullet"/>
        <w:spacing w:after="60"/>
      </w:pPr>
      <w:r>
        <w:rPr>
          <w:b/>
          <w:sz w:val="21"/>
        </w:rPr>
        <w:t xml:space="preserve">Individual thresholds. </w:t>
      </w:r>
      <w:r>
        <w:rPr>
          <w:sz w:val="21"/>
        </w:rPr>
        <w:t xml:space="preserve"> Each sensor is checked against its own limit, independently. Failures caused by a change in how readings relate to each other never trip an alarm.</w:t>
      </w:r>
    </w:p>
    <w:p>
      <w:pPr>
        <w:pStyle w:val="ListBullet"/>
        <w:spacing w:after="60"/>
      </w:pPr>
      <w:r>
        <w:rPr>
          <w:b/>
          <w:sz w:val="21"/>
        </w:rPr>
        <w:t xml:space="preserve">Correlation blindness. </w:t>
      </w:r>
      <w:r>
        <w:rPr>
          <w:sz w:val="21"/>
        </w:rPr>
        <w:t xml:space="preserve"> In a turbine engine, the relationship between rotation speed, exhaust gas temperature, and fuel flow predicts compressor degradation; in a ground vehicle, transmission temperature versus vibration versus speed predicts gearbox failure. No single value is abnormal — only the pattern is.</w:t>
      </w:r>
    </w:p>
    <w:p>
      <w:pPr>
        <w:pStyle w:val="ListBullet"/>
        <w:spacing w:after="60"/>
      </w:pPr>
      <w:r>
        <w:rPr>
          <w:b/>
          <w:sz w:val="21"/>
        </w:rPr>
        <w:t xml:space="preserve">Static baselines. </w:t>
      </w:r>
      <w:r>
        <w:rPr>
          <w:sz w:val="21"/>
        </w:rPr>
        <w:t xml:space="preserve"> Manufacturer thresholds describe a generic unit in reference conditions. A generator that has run 18 months at high altitude develops different thermal characteristics than the same model at sea level; a population-level limit cannot see unit-specific degradation.</w:t>
      </w:r>
    </w:p>
    <w:p>
      <w:pPr>
        <w:pStyle w:val="ListBullet"/>
        <w:spacing w:after="60"/>
      </w:pPr>
      <w:r>
        <w:rPr>
          <w:b/>
          <w:sz w:val="21"/>
        </w:rPr>
        <w:t xml:space="preserve">Trend blindness. </w:t>
      </w:r>
      <w:r>
        <w:rPr>
          <w:sz w:val="21"/>
        </w:rPr>
        <w:t xml:space="preserve"> A bearing whose vibration grows by 0.002g per week will not cross a threshold for months — yet that steady climb is a reliable failure predictor. Point-in-time checks cannot see a trajectory.</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1_relationship.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Why threshold monitoring misses the failure. Left: both sensors stay safely inside their alarm limits for twelve weeks. Right: the relationship between the same two sensors drifts steadily out of this unit's normal band — the behavioral precursor BEI is built to detect. (Illustrative.)</w:t>
      </w:r>
    </w:p>
    <w:p>
      <w:pPr>
        <w:spacing w:before="280" w:after="80"/>
      </w:pPr>
      <w:r>
        <w:rPr>
          <w:b/>
          <w:color w:val="0B1F3A"/>
          <w:sz w:val="30"/>
        </w:rPr>
        <w:t>3.  The Behavioral Entity Intelligence Approach</w:t>
      </w:r>
    </w:p>
    <w:p>
      <w:pPr>
        <w:spacing w:before="160" w:after="60"/>
      </w:pPr>
      <w:r>
        <w:rPr>
          <w:b/>
          <w:color w:val="C25A12"/>
          <w:sz w:val="24"/>
        </w:rPr>
        <w:t>3.1  Every unit becomes a digital entity</w:t>
      </w:r>
    </w:p>
    <w:p>
      <w:pPr>
        <w:spacing w:after="120"/>
      </w:pPr>
      <w:r>
        <w:rPr>
          <w:b w:val="0"/>
          <w:i w:val="0"/>
          <w:sz w:val="21"/>
        </w:rPr>
        <w:t>A "digital entity" (a form of digital twin) is a living software profile of one specific physical unit. Two F-35 engines of identical manufacture develop different profiles, because each accumulates its own operating history, environmental exposure, maintenance record, and duty cycle. The profile lives in a semantic space — a mathematical "map of meaning," the same kind of representation that powers large language models, where units that behave alike sit near each other even when their raw sensor numbers differ. Where a language model uses that space to understand sentences, BEI uses it to understand how equipment is behaving.</w:t>
      </w:r>
    </w:p>
    <w:p>
      <w:pPr>
        <w:spacing w:after="120"/>
      </w:pPr>
      <w:r>
        <w:rPr>
          <w:b w:val="0"/>
          <w:i w:val="0"/>
          <w:sz w:val="21"/>
        </w:rPr>
        <w:t>Each entity's behavior is decomposed into five zones — five independent lenses on the same machine, each watching a different dimension of health:</w:t>
      </w:r>
    </w:p>
    <w:tbl>
      <w:tblPr>
        <w:tblStyle w:val="TableGrid"/>
        <w:tblW w:type="auto" w:w="0"/>
        <w:jc w:val="center"/>
        <w:tblLook w:firstColumn="1" w:firstRow="1" w:lastColumn="0" w:lastRow="0" w:noHBand="0" w:noVBand="1" w:val="04A0"/>
      </w:tblPr>
      <w:tblGrid>
        <w:gridCol w:w="4896"/>
        <w:gridCol w:w="4896"/>
      </w:tblGrid>
      <w:tr>
        <w:tc>
          <w:tcPr>
            <w:tcW w:type="dxa" w:w="2592"/>
            <w:shd w:val="clear" w:fill="0B1F3A"/>
          </w:tcPr>
          <w:p>
            <w:pPr>
              <w:spacing w:after="40" w:before="40"/>
            </w:pPr>
            <w:r/>
            <w:r>
              <w:rPr>
                <w:rFonts w:ascii="Calibri" w:hAnsi="Calibri"/>
                <w:b/>
                <w:color w:val="FFFFFF"/>
                <w:sz w:val="19"/>
              </w:rPr>
              <w:t>Behavioral zone</w:t>
            </w:r>
          </w:p>
        </w:tc>
        <w:tc>
          <w:tcPr>
            <w:tcW w:type="dxa" w:w="7344"/>
            <w:shd w:val="clear" w:fill="0B1F3A"/>
          </w:tcPr>
          <w:p>
            <w:pPr>
              <w:spacing w:after="40" w:before="40"/>
            </w:pPr>
            <w:r/>
            <w:r>
              <w:rPr>
                <w:rFonts w:ascii="Calibri" w:hAnsi="Calibri"/>
                <w:b/>
                <w:color w:val="FFFFFF"/>
                <w:sz w:val="19"/>
              </w:rPr>
              <w:t>What it captures (in plain terms)</w:t>
            </w:r>
          </w:p>
        </w:tc>
      </w:tr>
      <w:tr>
        <w:tc>
          <w:tcPr>
            <w:tcW w:type="dxa" w:w="2592"/>
            <w:shd w:val="clear" w:fill="F4F6F8"/>
          </w:tcPr>
          <w:p>
            <w:pPr>
              <w:spacing w:after="40" w:before="40"/>
            </w:pPr>
            <w:r/>
            <w:r>
              <w:rPr>
                <w:rFonts w:ascii="Calibri" w:hAnsi="Calibri"/>
                <w:b/>
                <w:sz w:val="19"/>
              </w:rPr>
              <w:t>Vibration profile</w:t>
            </w:r>
          </w:p>
        </w:tc>
        <w:tc>
          <w:tcPr>
            <w:tcW w:type="dxa" w:w="7344"/>
          </w:tcPr>
          <w:p>
            <w:pPr>
              <w:spacing w:after="40" w:before="40"/>
            </w:pPr>
            <w:r/>
            <w:r>
              <w:rPr>
                <w:rFonts w:ascii="Calibri" w:hAnsi="Calibri"/>
                <w:b w:val="0"/>
                <w:sz w:val="19"/>
              </w:rPr>
              <w:t>The mechanical health of rotating parts — bearing wear, shaft misalignment, blade or gear damage, read from how the machine shakes.</w:t>
            </w:r>
          </w:p>
        </w:tc>
      </w:tr>
      <w:tr>
        <w:tc>
          <w:tcPr>
            <w:tcW w:type="dxa" w:w="2592"/>
            <w:shd w:val="clear" w:fill="F4F6F8"/>
          </w:tcPr>
          <w:p>
            <w:pPr>
              <w:spacing w:after="40" w:before="40"/>
            </w:pPr>
            <w:r/>
            <w:r>
              <w:rPr>
                <w:rFonts w:ascii="Calibri" w:hAnsi="Calibri"/>
                <w:b/>
                <w:sz w:val="19"/>
              </w:rPr>
              <w:t>Thermal signature</w:t>
            </w:r>
          </w:p>
        </w:tc>
        <w:tc>
          <w:tcPr>
            <w:tcW w:type="dxa" w:w="7344"/>
          </w:tcPr>
          <w:p>
            <w:pPr>
              <w:spacing w:after="40" w:before="40"/>
            </w:pPr>
            <w:r/>
            <w:r>
              <w:rPr>
                <w:rFonts w:ascii="Calibri" w:hAnsi="Calibri"/>
                <w:b w:val="0"/>
                <w:sz w:val="19"/>
              </w:rPr>
              <w:t>How heat moves through the machine — coolant restrictions, blocked exhaust paths, failing insulation, read from temperatures and heating/cooling rates.</w:t>
            </w:r>
          </w:p>
        </w:tc>
      </w:tr>
      <w:tr>
        <w:tc>
          <w:tcPr>
            <w:tcW w:type="dxa" w:w="2592"/>
            <w:shd w:val="clear" w:fill="F4F6F8"/>
          </w:tcPr>
          <w:p>
            <w:pPr>
              <w:spacing w:after="40" w:before="40"/>
            </w:pPr>
            <w:r/>
            <w:r>
              <w:rPr>
                <w:rFonts w:ascii="Calibri" w:hAnsi="Calibri"/>
                <w:b/>
                <w:sz w:val="19"/>
              </w:rPr>
              <w:t>Power / performance</w:t>
            </w:r>
          </w:p>
        </w:tc>
        <w:tc>
          <w:tcPr>
            <w:tcW w:type="dxa" w:w="7344"/>
          </w:tcPr>
          <w:p>
            <w:pPr>
              <w:spacing w:after="40" w:before="40"/>
            </w:pPr>
            <w:r/>
            <w:r>
              <w:rPr>
                <w:rFonts w:ascii="Calibri" w:hAnsi="Calibri"/>
                <w:b w:val="0"/>
                <w:sz w:val="19"/>
              </w:rPr>
              <w:t>How efficiently fuel becomes output — compressor degradation, fouled injectors, winding wear, read from consumption and output ratios.</w:t>
            </w:r>
          </w:p>
        </w:tc>
      </w:tr>
      <w:tr>
        <w:tc>
          <w:tcPr>
            <w:tcW w:type="dxa" w:w="2592"/>
            <w:shd w:val="clear" w:fill="F4F6F8"/>
          </w:tcPr>
          <w:p>
            <w:pPr>
              <w:spacing w:after="40" w:before="40"/>
            </w:pPr>
            <w:r/>
            <w:r>
              <w:rPr>
                <w:rFonts w:ascii="Calibri" w:hAnsi="Calibri"/>
                <w:b/>
                <w:sz w:val="19"/>
              </w:rPr>
              <w:t>Fluid chemistry</w:t>
            </w:r>
          </w:p>
        </w:tc>
        <w:tc>
          <w:tcPr>
            <w:tcW w:type="dxa" w:w="7344"/>
          </w:tcPr>
          <w:p>
            <w:pPr>
              <w:spacing w:after="40" w:before="40"/>
            </w:pPr>
            <w:r/>
            <w:r>
              <w:rPr>
                <w:rFonts w:ascii="Calibri" w:hAnsi="Calibri"/>
                <w:b w:val="0"/>
                <w:sz w:val="19"/>
              </w:rPr>
              <w:t>What the oil and coolant reveal — metal particles in the oil point to the specific component shedding them.</w:t>
            </w:r>
          </w:p>
        </w:tc>
      </w:tr>
      <w:tr>
        <w:tc>
          <w:tcPr>
            <w:tcW w:type="dxa" w:w="2592"/>
            <w:shd w:val="clear" w:fill="F4F6F8"/>
          </w:tcPr>
          <w:p>
            <w:pPr>
              <w:spacing w:after="40" w:before="40"/>
            </w:pPr>
            <w:r/>
            <w:r>
              <w:rPr>
                <w:rFonts w:ascii="Calibri" w:hAnsi="Calibri"/>
                <w:b/>
                <w:sz w:val="19"/>
              </w:rPr>
              <w:t>Operational duty cycle</w:t>
            </w:r>
          </w:p>
        </w:tc>
        <w:tc>
          <w:tcPr>
            <w:tcW w:type="dxa" w:w="7344"/>
          </w:tcPr>
          <w:p>
            <w:pPr>
              <w:spacing w:after="40" w:before="40"/>
            </w:pPr>
            <w:r/>
            <w:r>
              <w:rPr>
                <w:rFonts w:ascii="Calibri" w:hAnsi="Calibri"/>
                <w:b w:val="0"/>
                <w:sz w:val="19"/>
              </w:rPr>
              <w:t>How hard the unit is being worked — load patterns, start/stop frequency, environmental exposure. Hard-run units age differently.</w:t>
            </w:r>
          </w:p>
        </w:tc>
      </w:tr>
    </w:tbl>
    <w:p>
      <w:pPr>
        <w:spacing w:after="40"/>
      </w:pPr>
    </w:p>
    <w:p>
      <w:pPr>
        <w:spacing w:before="160" w:after="60"/>
      </w:pPr>
      <w:r>
        <w:rPr>
          <w:b/>
          <w:color w:val="C25A12"/>
          <w:sz w:val="24"/>
        </w:rPr>
        <w:t>3.2  Zone divergence — the key diagnostic signal</w:t>
      </w:r>
    </w:p>
    <w:p>
      <w:pPr>
        <w:spacing w:after="120"/>
      </w:pPr>
      <w:r>
        <w:rPr>
          <w:b w:val="0"/>
          <w:i w:val="0"/>
          <w:sz w:val="21"/>
        </w:rPr>
        <w:t>The most powerful signal is not how far any one zone has drifted, but the pattern across zones — the way a doctor reads one vital sign moving while the others hold steady and knows which organ to examine. When all five zones drift together, the unit is simply aging; the answer is the scheduled overhaul, and no part needs to be bought early. When one zone diverges while the rest stay stable, a specific component is degrading — and the drifting zone names it. Vibration drifting alone points to bearing wear and a bearing kit; thermal drifting alone points to the fluid system — a coolant pump or heat exchanger; power drifting alone points to fuel injectors or electrical windings. Vibration and thermal drifting together is the dangerous pattern: a cascading failure, where mechanical wear is creating secondary heat damage — inspect within two weeks and order the full kit immediately.</w:t>
      </w:r>
    </w:p>
    <w:p>
      <w:pPr>
        <w:spacing w:before="120" w:after="0"/>
        <w:jc w:val="center"/>
      </w:pPr>
      <w:r>
        <w:drawing>
          <wp:inline xmlns:a="http://schemas.openxmlformats.org/drawingml/2006/main" xmlns:pic="http://schemas.openxmlformats.org/drawingml/2006/picture">
            <wp:extent cx="5852160" cy="2508069"/>
            <wp:docPr id="2" name="Picture 2"/>
            <wp:cNvGraphicFramePr>
              <a:graphicFrameLocks noChangeAspect="1"/>
            </wp:cNvGraphicFramePr>
            <a:graphic>
              <a:graphicData uri="http://schemas.openxmlformats.org/drawingml/2006/picture">
                <pic:pic>
                  <pic:nvPicPr>
                    <pic:cNvPr id="0" name="fig2_zones.png"/>
                    <pic:cNvPicPr/>
                  </pic:nvPicPr>
                  <pic:blipFill>
                    <a:blip r:embed="rId10"/>
                    <a:stretch>
                      <a:fillRect/>
                    </a:stretch>
                  </pic:blipFill>
                  <pic:spPr>
                    <a:xfrm>
                      <a:off x="0" y="0"/>
                      <a:ext cx="5852160" cy="2508069"/>
                    </a:xfrm>
                    <a:prstGeom prst="rect"/>
                  </pic:spPr>
                </pic:pic>
              </a:graphicData>
            </a:graphic>
          </wp:inline>
        </w:drawing>
      </w:r>
    </w:p>
    <w:p>
      <w:pPr>
        <w:spacing w:after="160"/>
        <w:jc w:val="center"/>
      </w:pPr>
      <w:r>
        <w:rPr>
          <w:i/>
          <w:color w:val="555F6B"/>
          <w:sz w:val="17"/>
        </w:rPr>
        <w:t>Figure 2 — Zone divergence. Left: all five zones drift together — normal aging, handled by the scheduled overhaul. Right: the vibration zone diverges while the others hold — bearing wear, with the specific replacement part identified weeks before failure. (Illustrative.)</w:t>
      </w:r>
    </w:p>
    <w:p>
      <w:pPr>
        <w:spacing w:before="160" w:after="60"/>
      </w:pPr>
      <w:r>
        <w:rPr>
          <w:b/>
          <w:color w:val="C25A12"/>
          <w:sz w:val="24"/>
        </w:rPr>
        <w:t>3.3  Trajectory, regimes, and remaining useful life</w:t>
      </w:r>
    </w:p>
    <w:p>
      <w:pPr>
        <w:spacing w:after="120"/>
      </w:pPr>
      <w:r>
        <w:rPr>
          <w:b w:val="0"/>
          <w:i w:val="0"/>
          <w:sz w:val="21"/>
        </w:rPr>
        <w:t>BEI tracks each entity's movement over time: how fast its behavior is drifting from baseline (velocity), whether that rate is itself increasing (acceleration — the strongest predictor of imminent failure, because wear creates secondary stress that feeds on itself), and whether the drift is steady (progressive wear) or oscillating (an intermittent fault such as a loose connection or sticking valve). The exact mathematics is proprietary and withheld in this edition; what matters operationally is the output — every unit is classified into one of four regimes, and each regime drives both a maintenance response and a supply-chain action: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val="clear" w:fill="0B1F3A"/>
          </w:tcPr>
          <w:p>
            <w:pPr>
              <w:spacing w:after="40" w:before="40"/>
            </w:pPr>
            <w:r/>
            <w:r>
              <w:rPr>
                <w:rFonts w:ascii="Calibri" w:hAnsi="Calibri"/>
                <w:b/>
                <w:color w:val="FFFFFF"/>
                <w:sz w:val="19"/>
              </w:rPr>
              <w:t>Regime</w:t>
            </w:r>
          </w:p>
        </w:tc>
        <w:tc>
          <w:tcPr>
            <w:tcW w:type="dxa" w:w="2592"/>
            <w:shd w:val="clear" w:fill="0B1F3A"/>
          </w:tcPr>
          <w:p>
            <w:pPr>
              <w:spacing w:after="40" w:before="40"/>
            </w:pPr>
            <w:r/>
            <w:r>
              <w:rPr>
                <w:rFonts w:ascii="Calibri" w:hAnsi="Calibri"/>
                <w:b/>
                <w:color w:val="FFFFFF"/>
                <w:sz w:val="19"/>
              </w:rPr>
              <w:t>What it means</w:t>
            </w:r>
          </w:p>
        </w:tc>
        <w:tc>
          <w:tcPr>
            <w:tcW w:type="dxa" w:w="2880"/>
            <w:shd w:val="clear" w:fill="0B1F3A"/>
          </w:tcPr>
          <w:p>
            <w:pPr>
              <w:spacing w:after="40" w:before="40"/>
            </w:pPr>
            <w:r/>
            <w:r>
              <w:rPr>
                <w:rFonts w:ascii="Calibri" w:hAnsi="Calibri"/>
                <w:b/>
                <w:color w:val="FFFFFF"/>
                <w:sz w:val="19"/>
              </w:rPr>
              <w:t>Maintenance response</w:t>
            </w:r>
          </w:p>
        </w:tc>
        <w:tc>
          <w:tcPr>
            <w:tcW w:type="dxa" w:w="2736"/>
            <w:shd w:val="clear" w:fill="0B1F3A"/>
          </w:tcPr>
          <w:p>
            <w:pPr>
              <w:spacing w:after="40" w:before="40"/>
            </w:pPr>
            <w:r/>
            <w:r>
              <w:rPr>
                <w:rFonts w:ascii="Calibri" w:hAnsi="Calibri"/>
                <w:b/>
                <w:color w:val="FFFFFF"/>
                <w:sz w:val="19"/>
              </w:rPr>
              <w:t>Supply chain action</w:t>
            </w:r>
          </w:p>
        </w:tc>
      </w:tr>
      <w:tr>
        <w:tc>
          <w:tcPr>
            <w:tcW w:type="dxa" w:w="1728"/>
            <w:shd w:val="clear" w:fill="F4F6F8"/>
          </w:tcPr>
          <w:p>
            <w:pPr>
              <w:spacing w:after="40" w:before="40"/>
            </w:pPr>
            <w:r/>
            <w:r>
              <w:rPr>
                <w:rFonts w:ascii="Calibri" w:hAnsi="Calibri"/>
                <w:b/>
                <w:sz w:val="19"/>
              </w:rPr>
              <w:t>STABLE</w:t>
            </w:r>
          </w:p>
        </w:tc>
        <w:tc>
          <w:tcPr>
            <w:tcW w:type="dxa" w:w="2592"/>
          </w:tcPr>
          <w:p>
            <w:pPr>
              <w:spacing w:after="40" w:before="40"/>
            </w:pPr>
            <w:r/>
            <w:r>
              <w:rPr>
                <w:rFonts w:ascii="Calibri" w:hAnsi="Calibri"/>
                <w:b w:val="0"/>
                <w:sz w:val="19"/>
              </w:rPr>
              <w:t>Behavior inside the unit's normal envelope.</w:t>
            </w:r>
          </w:p>
        </w:tc>
        <w:tc>
          <w:tcPr>
            <w:tcW w:type="dxa" w:w="2880"/>
          </w:tcPr>
          <w:p>
            <w:pPr>
              <w:spacing w:after="40" w:before="40"/>
            </w:pPr>
            <w:r/>
            <w:r>
              <w:rPr>
                <w:rFonts w:ascii="Calibri" w:hAnsi="Calibri"/>
                <w:b w:val="0"/>
                <w:sz w:val="19"/>
              </w:rPr>
              <w:t>Normal operations; maintain at the next scheduled interval.</w:t>
            </w:r>
          </w:p>
        </w:tc>
        <w:tc>
          <w:tcPr>
            <w:tcW w:type="dxa" w:w="2736"/>
          </w:tcPr>
          <w:p>
            <w:pPr>
              <w:spacing w:after="40" w:before="40"/>
            </w:pPr>
            <w:r/>
            <w:r>
              <w:rPr>
                <w:rFonts w:ascii="Calibri" w:hAnsi="Calibri"/>
                <w:b w:val="0"/>
                <w:sz w:val="19"/>
              </w:rPr>
              <w:t>No action; standard inventory suffices.</w:t>
            </w:r>
          </w:p>
        </w:tc>
      </w:tr>
      <w:tr>
        <w:tc>
          <w:tcPr>
            <w:tcW w:type="dxa" w:w="1728"/>
            <w:shd w:val="clear" w:fill="F4F6F8"/>
          </w:tcPr>
          <w:p>
            <w:pPr>
              <w:spacing w:after="40" w:before="40"/>
            </w:pPr>
            <w:r/>
            <w:r>
              <w:rPr>
                <w:rFonts w:ascii="Calibri" w:hAnsi="Calibri"/>
                <w:b/>
                <w:sz w:val="19"/>
              </w:rPr>
              <w:t>DRIFTING</w:t>
            </w:r>
          </w:p>
        </w:tc>
        <w:tc>
          <w:tcPr>
            <w:tcW w:type="dxa" w:w="2592"/>
          </w:tcPr>
          <w:p>
            <w:pPr>
              <w:spacing w:after="40" w:before="40"/>
            </w:pPr>
            <w:r/>
            <w:r>
              <w:rPr>
                <w:rFonts w:ascii="Calibri" w:hAnsi="Calibri"/>
                <w:b w:val="0"/>
                <w:sz w:val="19"/>
              </w:rPr>
              <w:t>Steady movement away from baseline.</w:t>
            </w:r>
          </w:p>
        </w:tc>
        <w:tc>
          <w:tcPr>
            <w:tcW w:type="dxa" w:w="2880"/>
          </w:tcPr>
          <w:p>
            <w:pPr>
              <w:spacing w:after="40" w:before="40"/>
            </w:pPr>
            <w:r/>
            <w:r>
              <w:rPr>
                <w:rFonts w:ascii="Calibri" w:hAnsi="Calibri"/>
                <w:b w:val="0"/>
                <w:sz w:val="19"/>
              </w:rPr>
              <w:t>Schedule an inspection; monitor weekly.</w:t>
            </w:r>
          </w:p>
        </w:tc>
        <w:tc>
          <w:tcPr>
            <w:tcW w:type="dxa" w:w="2736"/>
          </w:tcPr>
          <w:p>
            <w:pPr>
              <w:spacing w:after="40" w:before="40"/>
            </w:pPr>
            <w:r/>
            <w:r>
              <w:rPr>
                <w:rFonts w:ascii="Calibri" w:hAnsi="Calibri"/>
                <w:b w:val="0"/>
                <w:sz w:val="19"/>
              </w:rPr>
              <w:t>Verify parts availability; flag for procurement.</w:t>
            </w:r>
          </w:p>
        </w:tc>
      </w:tr>
      <w:tr>
        <w:tc>
          <w:tcPr>
            <w:tcW w:type="dxa" w:w="1728"/>
            <w:shd w:val="clear" w:fill="F4F6F8"/>
          </w:tcPr>
          <w:p>
            <w:pPr>
              <w:spacing w:after="40" w:before="40"/>
            </w:pPr>
            <w:r/>
            <w:r>
              <w:rPr>
                <w:rFonts w:ascii="Calibri" w:hAnsi="Calibri"/>
                <w:b/>
                <w:sz w:val="19"/>
              </w:rPr>
              <w:t>ACCELERATING</w:t>
            </w:r>
          </w:p>
        </w:tc>
        <w:tc>
          <w:tcPr>
            <w:tcW w:type="dxa" w:w="2592"/>
          </w:tcPr>
          <w:p>
            <w:pPr>
              <w:spacing w:after="40" w:before="40"/>
            </w:pPr>
            <w:r/>
            <w:r>
              <w:rPr>
                <w:rFonts w:ascii="Calibri" w:hAnsi="Calibri"/>
                <w:b w:val="0"/>
                <w:sz w:val="19"/>
              </w:rPr>
              <w:t>Degradation is speeding up.</w:t>
            </w:r>
          </w:p>
        </w:tc>
        <w:tc>
          <w:tcPr>
            <w:tcW w:type="dxa" w:w="2880"/>
          </w:tcPr>
          <w:p>
            <w:pPr>
              <w:spacing w:after="40" w:before="40"/>
            </w:pPr>
            <w:r/>
            <w:r>
              <w:rPr>
                <w:rFonts w:ascii="Calibri" w:hAnsi="Calibri"/>
                <w:b w:val="0"/>
                <w:sz w:val="19"/>
              </w:rPr>
              <w:t>Maintain within two weeks; restrict operating tempo if possible.</w:t>
            </w:r>
          </w:p>
        </w:tc>
        <w:tc>
          <w:tcPr>
            <w:tcW w:type="dxa" w:w="2736"/>
          </w:tcPr>
          <w:p>
            <w:pPr>
              <w:spacing w:after="40" w:before="40"/>
            </w:pPr>
            <w:r/>
            <w:r>
              <w:rPr>
                <w:rFonts w:ascii="Calibri" w:hAnsi="Calibri"/>
                <w:b w:val="0"/>
                <w:sz w:val="19"/>
              </w:rPr>
              <w:t>Order parts; pre-position at the nearest depot; expedite if lead time exceeds the window.</w:t>
            </w:r>
          </w:p>
        </w:tc>
      </w:tr>
      <w:tr>
        <w:tc>
          <w:tcPr>
            <w:tcW w:type="dxa" w:w="1728"/>
            <w:shd w:val="clear" w:fill="F4F6F8"/>
          </w:tcPr>
          <w:p>
            <w:pPr>
              <w:spacing w:after="40" w:before="40"/>
            </w:pPr>
            <w:r/>
            <w:r>
              <w:rPr>
                <w:rFonts w:ascii="Calibri" w:hAnsi="Calibri"/>
                <w:b/>
                <w:sz w:val="19"/>
              </w:rPr>
              <w:t>REGIME SHIFT</w:t>
            </w:r>
          </w:p>
        </w:tc>
        <w:tc>
          <w:tcPr>
            <w:tcW w:type="dxa" w:w="2592"/>
          </w:tcPr>
          <w:p>
            <w:pPr>
              <w:spacing w:after="40" w:before="40"/>
            </w:pPr>
            <w:r/>
            <w:r>
              <w:rPr>
                <w:rFonts w:ascii="Calibri" w:hAnsi="Calibri"/>
                <w:b w:val="0"/>
                <w:sz w:val="19"/>
              </w:rPr>
              <w:t>A fundamental break in behavior.</w:t>
            </w:r>
          </w:p>
        </w:tc>
        <w:tc>
          <w:tcPr>
            <w:tcW w:type="dxa" w:w="2880"/>
          </w:tcPr>
          <w:p>
            <w:pPr>
              <w:spacing w:after="40" w:before="40"/>
            </w:pPr>
            <w:r/>
            <w:r>
              <w:rPr>
                <w:rFonts w:ascii="Calibri" w:hAnsi="Calibri"/>
                <w:b w:val="0"/>
                <w:sz w:val="19"/>
              </w:rPr>
              <w:t>Immediate inspection; take the unit out of service ("ground" or "deadline" it) until checked.</w:t>
            </w:r>
          </w:p>
        </w:tc>
        <w:tc>
          <w:tcPr>
            <w:tcW w:type="dxa" w:w="2736"/>
          </w:tcPr>
          <w:p>
            <w:pPr>
              <w:spacing w:after="40" w:before="40"/>
            </w:pPr>
            <w:r/>
            <w:r>
              <w:rPr>
                <w:rFonts w:ascii="Calibri" w:hAnsi="Calibri"/>
                <w:b w:val="0"/>
                <w:sz w:val="19"/>
              </w:rPr>
              <w:t>Emergency parts request; pull stock from other locations if needed.</w:t>
            </w:r>
          </w:p>
        </w:tc>
      </w:tr>
    </w:tbl>
    <w:p>
      <w:pPr>
        <w:spacing w:after="40"/>
      </w:pPr>
    </w:p>
    <w:p>
      <w:pPr>
        <w:spacing w:after="120"/>
      </w:pPr>
      <w:r>
        <w:rPr>
          <w:b w:val="0"/>
          <w:i w:val="0"/>
          <w:sz w:val="21"/>
        </w:rPr>
        <w:t>From the trajectory, BEI estimates remaining useful life (RUL) — how long until the unit needs intervention — with honest uncertainty: a steadily drifting unit gets a tight estimate, an oscillating one a wide band. Unlike a manufacturer's generic cycle count ("this engine type lasts N flight hours"), the estimate is grounded in this unit's own trajectory and validated against fleet peers: other units whose behavioral path looked the same, and what actually happened to them.</w:t>
      </w:r>
    </w:p>
    <w:p>
      <w:pPr>
        <w:spacing w:before="120" w:after="0"/>
        <w:jc w:val="center"/>
      </w:pPr>
      <w:r>
        <w:drawing>
          <wp:inline xmlns:a="http://schemas.openxmlformats.org/drawingml/2006/main" xmlns:pic="http://schemas.openxmlformats.org/drawingml/2006/picture">
            <wp:extent cx="5852160" cy="2675273"/>
            <wp:docPr id="3" name="Picture 3"/>
            <wp:cNvGraphicFramePr>
              <a:graphicFrameLocks noChangeAspect="1"/>
            </wp:cNvGraphicFramePr>
            <a:graphic>
              <a:graphicData uri="http://schemas.openxmlformats.org/drawingml/2006/picture">
                <pic:pic>
                  <pic:nvPicPr>
                    <pic:cNvPr id="0" name="fig3_regimes.png"/>
                    <pic:cNvPicPr/>
                  </pic:nvPicPr>
                  <pic:blipFill>
                    <a:blip r:embed="rId11"/>
                    <a:stretch>
                      <a:fillRect/>
                    </a:stretch>
                  </pic:blipFill>
                  <pic:spPr>
                    <a:xfrm>
                      <a:off x="0" y="0"/>
                      <a:ext cx="5852160" cy="2675273"/>
                    </a:xfrm>
                    <a:prstGeom prst="rect"/>
                  </pic:spPr>
                </pic:pic>
              </a:graphicData>
            </a:graphic>
          </wp:inline>
        </w:drawing>
      </w:r>
    </w:p>
    <w:p>
      <w:pPr>
        <w:spacing w:after="160"/>
        <w:jc w:val="center"/>
      </w:pPr>
      <w:r>
        <w:rPr>
          <w:i/>
          <w:color w:val="555F6B"/>
          <w:sz w:val="17"/>
        </w:rPr>
        <w:t>Figure 3 — The four health regimes and the lead-time gap. A traditional threshold alarm fires only when a reading finally crosses its limit; BEI flags the DRIFTING regime weeks earlier, when the inspection can be scheduled and the parts pre-positioned. (Illustrative; the traditional alarm moment is projected onto the same timeline for comparison.)</w:t>
      </w:r>
    </w:p>
    <w:p>
      <w:pPr>
        <w:spacing w:before="160" w:after="60"/>
      </w:pPr>
      <w:r>
        <w:rPr>
          <w:b/>
          <w:color w:val="C25A12"/>
          <w:sz w:val="24"/>
        </w:rPr>
        <w:t>3.4  Beyond single units: fleet, environment, and supplier intelligence</w:t>
      </w:r>
    </w:p>
    <w:p>
      <w:pPr>
        <w:spacing w:after="120"/>
      </w:pPr>
      <w:r>
        <w:rPr>
          <w:b w:val="0"/>
          <w:i w:val="0"/>
          <w:sz w:val="21"/>
        </w:rPr>
        <w:t>Because every entity lives in the same behavioral space, BEI can reason across the fleet, not just within one machine:</w:t>
      </w:r>
    </w:p>
    <w:p>
      <w:pPr>
        <w:pStyle w:val="ListBullet"/>
        <w:spacing w:after="60"/>
      </w:pPr>
      <w:r>
        <w:rPr>
          <w:b/>
          <w:sz w:val="21"/>
        </w:rPr>
        <w:t xml:space="preserve">Fleet cohorts. </w:t>
      </w:r>
      <w:r>
        <w:rPr>
          <w:sz w:val="21"/>
        </w:rPr>
        <w:t xml:space="preserve"> Units with similar profiles cluster into cohorts. If 10% of a cohort has already suffered a specific failure, the rest are at elevated risk — fleet-wide preventive action from peer evidence. Example pattern: 15 UH-60 helicopter engines across 3 installations developing similar vibration drift points to a common component batch, triggering inspection of every affected unit before the first failure.</w:t>
      </w:r>
    </w:p>
    <w:p>
      <w:pPr>
        <w:pStyle w:val="ListBullet"/>
        <w:spacing w:after="60"/>
      </w:pPr>
      <w:r>
        <w:rPr>
          <w:b/>
          <w:sz w:val="21"/>
        </w:rPr>
        <w:t xml:space="preserve">Environment. </w:t>
      </w:r>
      <w:r>
        <w:rPr>
          <w:sz w:val="21"/>
        </w:rPr>
        <w:t xml:space="preserve"> The same model degrades differently in desert heat, maritime salt air, or high altitude, and under convoy duty versus intermittent patrols. BEI learns each unit's context instead of assuming a reference condition.</w:t>
      </w:r>
    </w:p>
    <w:p>
      <w:pPr>
        <w:pStyle w:val="ListBullet"/>
        <w:spacing w:after="60"/>
      </w:pPr>
      <w:r>
        <w:rPr>
          <w:b/>
          <w:sz w:val="21"/>
        </w:rPr>
        <w:t xml:space="preserve">Supplier quality. </w:t>
      </w:r>
      <w:r>
        <w:rPr>
          <w:sz w:val="21"/>
        </w:rPr>
        <w:t xml:space="preserve"> If parts from one supplier are consistently associated with faster behavioral drift across the fleet, BEI surfaces a supplier-quality signal that feeds procurement and vendor evaluation — quality erosion visible long before failure-rate statistics move.</w:t>
      </w:r>
    </w:p>
    <w:p>
      <w:pPr>
        <w:spacing w:before="160" w:after="60"/>
      </w:pPr>
      <w:r>
        <w:rPr>
          <w:b/>
          <w:color w:val="C25A12"/>
          <w:sz w:val="24"/>
        </w:rPr>
        <w:t>3.5  The supply chain link — what makes it prescriptive</w:t>
      </w:r>
    </w:p>
    <w:p>
      <w:pPr>
        <w:spacing w:after="120"/>
      </w:pPr>
      <w:r>
        <w:rPr>
          <w:b w:val="0"/>
          <w:i w:val="0"/>
          <w:sz w:val="21"/>
        </w:rPr>
        <w:t>Predicting failure without ensuring parts availability achieves nothing: the maintainer knows the equipment will fail and still cannot prevent it. BEI's behavioral predictions therefore generate three demand signals directly into DLA operations: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t>Signal</w:t>
            </w:r>
          </w:p>
        </w:tc>
        <w:tc>
          <w:tcPr>
            <w:tcW w:type="dxa" w:w="4176"/>
            <w:shd w:val="clear" w:fill="0B1F3A"/>
          </w:tcPr>
          <w:p>
            <w:pPr>
              <w:spacing w:after="40" w:before="40"/>
            </w:pPr>
            <w:r/>
            <w:r>
              <w:rPr>
                <w:rFonts w:ascii="Calibri" w:hAnsi="Calibri"/>
                <w:b/>
                <w:color w:val="FFFFFF"/>
                <w:sz w:val="19"/>
              </w:rPr>
              <w:t>Where it comes from</w:t>
            </w:r>
          </w:p>
        </w:tc>
        <w:tc>
          <w:tcPr>
            <w:tcW w:type="dxa" w:w="4032"/>
            <w:shd w:val="clear" w:fill="0B1F3A"/>
          </w:tcPr>
          <w:p>
            <w:pPr>
              <w:spacing w:after="40" w:before="40"/>
            </w:pPr>
            <w:r/>
            <w:r>
              <w:rPr>
                <w:rFonts w:ascii="Calibri" w:hAnsi="Calibri"/>
                <w:b/>
                <w:color w:val="FFFFFF"/>
                <w:sz w:val="19"/>
              </w:rPr>
              <w:t>What DLA does with it</w:t>
            </w:r>
          </w:p>
        </w:tc>
      </w:tr>
      <w:tr>
        <w:tc>
          <w:tcPr>
            <w:tcW w:type="dxa" w:w="1728"/>
            <w:shd w:val="clear" w:fill="F4F6F8"/>
          </w:tcPr>
          <w:p>
            <w:pPr>
              <w:spacing w:after="40" w:before="40"/>
            </w:pPr>
            <w:r/>
            <w:r>
              <w:rPr>
                <w:rFonts w:ascii="Calibri" w:hAnsi="Calibri"/>
                <w:b/>
                <w:sz w:val="19"/>
              </w:rPr>
              <w:t>WHAT part</w:t>
            </w:r>
          </w:p>
        </w:tc>
        <w:tc>
          <w:tcPr>
            <w:tcW w:type="dxa" w:w="4176"/>
          </w:tcPr>
          <w:p>
            <w:pPr>
              <w:spacing w:after="40" w:before="40"/>
            </w:pPr>
            <w:r/>
            <w:r>
              <w:rPr>
                <w:rFonts w:ascii="Calibri" w:hAnsi="Calibri"/>
                <w:b w:val="0"/>
                <w:sz w:val="19"/>
              </w:rPr>
              <w:t>The zone-divergence pattern maps to specific components (thermal drift → coolant pump; vibration drift → bearing kit).</w:t>
            </w:r>
          </w:p>
        </w:tc>
        <w:tc>
          <w:tcPr>
            <w:tcW w:type="dxa" w:w="4032"/>
          </w:tcPr>
          <w:p>
            <w:pPr>
              <w:spacing w:after="40" w:before="40"/>
            </w:pPr>
            <w:r/>
            <w:r>
              <w:rPr>
                <w:rFonts w:ascii="Calibri" w:hAnsi="Calibri"/>
                <w:b w:val="0"/>
                <w:sz w:val="19"/>
              </w:rPr>
              <w:t>Identify the National Stock Number (NSN — the part's unique catalog ID) and check inventory across depots.</w:t>
            </w:r>
          </w:p>
        </w:tc>
      </w:tr>
      <w:tr>
        <w:tc>
          <w:tcPr>
            <w:tcW w:type="dxa" w:w="1728"/>
            <w:shd w:val="clear" w:fill="F4F6F8"/>
          </w:tcPr>
          <w:p>
            <w:pPr>
              <w:spacing w:after="40" w:before="40"/>
            </w:pPr>
            <w:r/>
            <w:r>
              <w:rPr>
                <w:rFonts w:ascii="Calibri" w:hAnsi="Calibri"/>
                <w:b/>
                <w:sz w:val="19"/>
              </w:rPr>
              <w:t>WHEN needed</w:t>
            </w:r>
          </w:p>
        </w:tc>
        <w:tc>
          <w:tcPr>
            <w:tcW w:type="dxa" w:w="4176"/>
          </w:tcPr>
          <w:p>
            <w:pPr>
              <w:spacing w:after="40" w:before="40"/>
            </w:pPr>
            <w:r/>
            <w:r>
              <w:rPr>
                <w:rFonts w:ascii="Calibri" w:hAnsi="Calibri"/>
                <w:b w:val="0"/>
                <w:sz w:val="19"/>
              </w:rPr>
              <w:t>The regime and remaining-useful-life estimate set the window (DRIFTING = longer horizon; ACCELERATING = near-term).</w:t>
            </w:r>
          </w:p>
        </w:tc>
        <w:tc>
          <w:tcPr>
            <w:tcW w:type="dxa" w:w="4032"/>
          </w:tcPr>
          <w:p>
            <w:pPr>
              <w:spacing w:after="40" w:before="40"/>
            </w:pPr>
            <w:r/>
            <w:r>
              <w:rPr>
                <w:rFonts w:ascii="Calibri" w:hAnsi="Calibri"/>
                <w:b w:val="0"/>
                <w:sz w:val="19"/>
              </w:rPr>
              <w:t>Align procurement lead time to the predicted need date; order now if lead time exceeds the window.</w:t>
            </w:r>
          </w:p>
        </w:tc>
      </w:tr>
      <w:tr>
        <w:tc>
          <w:tcPr>
            <w:tcW w:type="dxa" w:w="1728"/>
            <w:shd w:val="clear" w:fill="F4F6F8"/>
          </w:tcPr>
          <w:p>
            <w:pPr>
              <w:spacing w:after="40" w:before="40"/>
            </w:pPr>
            <w:r/>
            <w:r>
              <w:rPr>
                <w:rFonts w:ascii="Calibri" w:hAnsi="Calibri"/>
                <w:b/>
                <w:sz w:val="19"/>
              </w:rPr>
              <w:t>WHERE staged</w:t>
            </w:r>
          </w:p>
        </w:tc>
        <w:tc>
          <w:tcPr>
            <w:tcW w:type="dxa" w:w="4176"/>
          </w:tcPr>
          <w:p>
            <w:pPr>
              <w:spacing w:after="40" w:before="40"/>
            </w:pPr>
            <w:r/>
            <w:r>
              <w:rPr>
                <w:rFonts w:ascii="Calibri" w:hAnsi="Calibri"/>
                <w:b w:val="0"/>
                <w:sz w:val="19"/>
              </w:rPr>
              <w:t>The unit's current and projected location from Army logistics systems.</w:t>
            </w:r>
          </w:p>
        </w:tc>
        <w:tc>
          <w:tcPr>
            <w:tcW w:type="dxa" w:w="4032"/>
          </w:tcPr>
          <w:p>
            <w:pPr>
              <w:spacing w:after="40" w:before="40"/>
            </w:pPr>
            <w:r/>
            <w:r>
              <w:rPr>
                <w:rFonts w:ascii="Calibri" w:hAnsi="Calibri"/>
                <w:b w:val="0"/>
                <w:sz w:val="19"/>
              </w:rPr>
              <w:t>Pre-position at the depot or supply point closest to the unit; pull from excess stock elsewhere if needed.</w:t>
            </w:r>
          </w:p>
        </w:tc>
      </w:tr>
    </w:tbl>
    <w:p>
      <w:pPr>
        <w:spacing w:after="40"/>
      </w:pPr>
    </w:p>
    <w:p>
      <w:pPr>
        <w:spacing w:after="120"/>
      </w:pPr>
      <w:r>
        <w:rPr>
          <w:b w:val="0"/>
          <w:i w:val="0"/>
          <w:sz w:val="21"/>
        </w:rPr>
        <w:t>The loop then closes: completed maintenance resets the unit's behavioral baseline, and BEI watches the post-repair profile to confirm the fix actually worked. Each cycle teaches the system — converting unplanned failure demand into planned maintenance demand, which is the single largest lever on emergency procurement cost and expedited shipping.</w:t>
      </w:r>
    </w:p>
    <w:p>
      <w:pPr>
        <w:spacing w:before="280" w:after="80"/>
      </w:pPr>
      <w:r>
        <w:rPr>
          <w:b/>
          <w:color w:val="0B1F3A"/>
          <w:sz w:val="30"/>
        </w:rPr>
        <w:t>4.  What the Evidence Shows — Stated Honestly</w:t>
      </w:r>
    </w:p>
    <w:p>
      <w:pPr>
        <w:spacing w:after="120"/>
      </w:pPr>
      <w:r>
        <w:rPr>
          <w:b w:val="0"/>
          <w:i w:val="0"/>
          <w:sz w:val="21"/>
        </w:rPr>
        <w:t>Two things are true and must be kept separate. First: the behavioral framework itself is not hypothetical — the same entity-profile, zone-divergence, and trajectory machinery is proven in an operational cybersecurity deployment, where it isolates threat signatures, and is applied in defense demand forecasting. Second: it has not yet been applied to maintenance data. No maintenance proof of concept has been conducted, and this paper claims no BEI-measured maintenance results. What the evidence base does establish is the size of the opportunity: documented outcomes from predictive- and condition-based-maintenance programs across defense and industry (as reported in Department of Defense (DoD), Department of Energy, and commercial reliability studies).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0B1F3A"/>
          </w:tcPr>
          <w:p>
            <w:pPr>
              <w:spacing w:after="40" w:before="40"/>
            </w:pPr>
            <w:r/>
            <w:r>
              <w:rPr>
                <w:rFonts w:ascii="Calibri" w:hAnsi="Calibri"/>
                <w:b/>
                <w:color w:val="FFFFFF"/>
                <w:sz w:val="19"/>
              </w:rPr>
              <w:t>Impact area</w:t>
            </w:r>
          </w:p>
        </w:tc>
        <w:tc>
          <w:tcPr>
            <w:tcW w:type="dxa" w:w="4176"/>
            <w:shd w:val="clear" w:fill="0B1F3A"/>
          </w:tcPr>
          <w:p>
            <w:pPr>
              <w:spacing w:after="40" w:before="40"/>
            </w:pPr>
            <w:r/>
            <w:r>
              <w:rPr>
                <w:rFonts w:ascii="Calibri" w:hAnsi="Calibri"/>
                <w:b/>
                <w:color w:val="FFFFFF"/>
                <w:sz w:val="19"/>
              </w:rPr>
              <w:t>Today (threshold-based practice)</w:t>
            </w:r>
          </w:p>
        </w:tc>
        <w:tc>
          <w:tcPr>
            <w:tcW w:type="dxa" w:w="3600"/>
            <w:shd w:val="clear" w:fill="0B1F3A"/>
          </w:tcPr>
          <w:p>
            <w:pPr>
              <w:spacing w:after="40" w:before="40"/>
            </w:pPr>
            <w:r/>
            <w:r>
              <w:rPr>
                <w:rFonts w:ascii="Calibri" w:hAnsi="Calibri"/>
                <w:b/>
                <w:color w:val="FFFFFF"/>
                <w:sz w:val="19"/>
              </w:rPr>
              <w:t>Documented benchmark range*</w:t>
            </w:r>
          </w:p>
        </w:tc>
      </w:tr>
      <w:tr>
        <w:tc>
          <w:tcPr>
            <w:tcW w:type="dxa" w:w="2160"/>
            <w:shd w:val="clear" w:fill="F4F6F8"/>
          </w:tcPr>
          <w:p>
            <w:pPr>
              <w:spacing w:after="40" w:before="40"/>
            </w:pPr>
            <w:r/>
            <w:r>
              <w:rPr>
                <w:rFonts w:ascii="Calibri" w:hAnsi="Calibri"/>
                <w:b/>
                <w:sz w:val="19"/>
              </w:rPr>
              <w:t>Unplanned failures</w:t>
            </w:r>
          </w:p>
        </w:tc>
        <w:tc>
          <w:tcPr>
            <w:tcW w:type="dxa" w:w="4176"/>
          </w:tcPr>
          <w:p>
            <w:pPr>
              <w:spacing w:after="40" w:before="40"/>
            </w:pPr>
            <w:r/>
            <w:r>
              <w:rPr>
                <w:rFonts w:ascii="Calibri" w:hAnsi="Calibri"/>
                <w:b w:val="0"/>
                <w:sz w:val="19"/>
              </w:rPr>
              <w:t>Detected at the point of occurrence; no advance warning; emergency maintenance.</w:t>
            </w:r>
          </w:p>
        </w:tc>
        <w:tc>
          <w:tcPr>
            <w:tcW w:type="dxa" w:w="3600"/>
          </w:tcPr>
          <w:p>
            <w:pPr>
              <w:spacing w:after="40" w:before="40"/>
            </w:pPr>
            <w:r/>
            <w:r>
              <w:rPr>
                <w:rFonts w:ascii="Calibri" w:hAnsi="Calibri"/>
                <w:b w:val="0"/>
                <w:sz w:val="19"/>
              </w:rPr>
              <w:t>40–60% reduction across a monitored fleet</w:t>
            </w:r>
          </w:p>
        </w:tc>
      </w:tr>
      <w:tr>
        <w:tc>
          <w:tcPr>
            <w:tcW w:type="dxa" w:w="2160"/>
            <w:shd w:val="clear" w:fill="F4F6F8"/>
          </w:tcPr>
          <w:p>
            <w:pPr>
              <w:spacing w:after="40" w:before="40"/>
            </w:pPr>
            <w:r/>
            <w:r>
              <w:rPr>
                <w:rFonts w:ascii="Calibri" w:hAnsi="Calibri"/>
                <w:b/>
                <w:sz w:val="19"/>
              </w:rPr>
              <w:t>Maintenance cost</w:t>
            </w:r>
          </w:p>
        </w:tc>
        <w:tc>
          <w:tcPr>
            <w:tcW w:type="dxa" w:w="4176"/>
          </w:tcPr>
          <w:p>
            <w:pPr>
              <w:spacing w:after="40" w:before="40"/>
            </w:pPr>
            <w:r/>
            <w:r>
              <w:rPr>
                <w:rFonts w:ascii="Calibri" w:hAnsi="Calibri"/>
                <w:b w:val="0"/>
                <w:sz w:val="19"/>
              </w:rPr>
              <w:t>Unplanned work costs 3–10x the planned equivalent (expedited parts, overtime, secondary damage).</w:t>
            </w:r>
          </w:p>
        </w:tc>
        <w:tc>
          <w:tcPr>
            <w:tcW w:type="dxa" w:w="3600"/>
          </w:tcPr>
          <w:p>
            <w:pPr>
              <w:spacing w:after="40" w:before="40"/>
            </w:pPr>
            <w:r/>
            <w:r>
              <w:rPr>
                <w:rFonts w:ascii="Calibri" w:hAnsi="Calibri"/>
                <w:b w:val="0"/>
                <w:sz w:val="19"/>
              </w:rPr>
              <w:t>25–40% reduction in total maintenance cost per platform</w:t>
            </w:r>
          </w:p>
        </w:tc>
      </w:tr>
      <w:tr>
        <w:tc>
          <w:tcPr>
            <w:tcW w:type="dxa" w:w="2160"/>
            <w:shd w:val="clear" w:fill="F4F6F8"/>
          </w:tcPr>
          <w:p>
            <w:pPr>
              <w:spacing w:after="40" w:before="40"/>
            </w:pPr>
            <w:r/>
            <w:r>
              <w:rPr>
                <w:rFonts w:ascii="Calibri" w:hAnsi="Calibri"/>
                <w:b/>
                <w:sz w:val="19"/>
              </w:rPr>
              <w:t>Mission readiness</w:t>
            </w:r>
          </w:p>
        </w:tc>
        <w:tc>
          <w:tcPr>
            <w:tcW w:type="dxa" w:w="4176"/>
          </w:tcPr>
          <w:p>
            <w:pPr>
              <w:spacing w:after="40" w:before="40"/>
            </w:pPr>
            <w:r/>
            <w:r>
              <w:rPr>
                <w:rFonts w:ascii="Calibri" w:hAnsi="Calibri"/>
                <w:b w:val="0"/>
                <w:sz w:val="19"/>
              </w:rPr>
              <w:t>Readiness rates capped by unplanned downtime.</w:t>
            </w:r>
          </w:p>
        </w:tc>
        <w:tc>
          <w:tcPr>
            <w:tcW w:type="dxa" w:w="3600"/>
          </w:tcPr>
          <w:p>
            <w:pPr>
              <w:spacing w:after="40" w:before="40"/>
            </w:pPr>
            <w:r/>
            <w:r>
              <w:rPr>
                <w:rFonts w:ascii="Calibri" w:hAnsi="Calibri"/>
                <w:b w:val="0"/>
                <w:sz w:val="19"/>
              </w:rPr>
              <w:t>3–8 percentage-point improvement in Operational Readiness rate</w:t>
            </w:r>
          </w:p>
        </w:tc>
      </w:tr>
      <w:tr>
        <w:tc>
          <w:tcPr>
            <w:tcW w:type="dxa" w:w="2160"/>
            <w:shd w:val="clear" w:fill="F4F6F8"/>
          </w:tcPr>
          <w:p>
            <w:pPr>
              <w:spacing w:after="40" w:before="40"/>
            </w:pPr>
            <w:r/>
            <w:r>
              <w:rPr>
                <w:rFonts w:ascii="Calibri" w:hAnsi="Calibri"/>
                <w:b/>
                <w:sz w:val="19"/>
              </w:rPr>
              <w:t>Parts inventory</w:t>
            </w:r>
          </w:p>
        </w:tc>
        <w:tc>
          <w:tcPr>
            <w:tcW w:type="dxa" w:w="4176"/>
          </w:tcPr>
          <w:p>
            <w:pPr>
              <w:spacing w:after="40" w:before="40"/>
            </w:pPr>
            <w:r/>
            <w:r>
              <w:rPr>
                <w:rFonts w:ascii="Calibri" w:hAnsi="Calibri"/>
                <w:b w:val="0"/>
                <w:sz w:val="19"/>
              </w:rPr>
              <w:t>High safety stock held against demand uncertainty.</w:t>
            </w:r>
          </w:p>
        </w:tc>
        <w:tc>
          <w:tcPr>
            <w:tcW w:type="dxa" w:w="3600"/>
          </w:tcPr>
          <w:p>
            <w:pPr>
              <w:spacing w:after="40" w:before="40"/>
            </w:pPr>
            <w:r/>
            <w:r>
              <w:rPr>
                <w:rFonts w:ascii="Calibri" w:hAnsi="Calibri"/>
                <w:b w:val="0"/>
                <w:sz w:val="19"/>
              </w:rPr>
              <w:t>15–25% reduction in safety-stock value without service degradation</w:t>
            </w:r>
          </w:p>
        </w:tc>
      </w:tr>
      <w:tr>
        <w:tc>
          <w:tcPr>
            <w:tcW w:type="dxa" w:w="2160"/>
            <w:shd w:val="clear" w:fill="F4F6F8"/>
          </w:tcPr>
          <w:p>
            <w:pPr>
              <w:spacing w:after="40" w:before="40"/>
            </w:pPr>
            <w:r/>
            <w:r>
              <w:rPr>
                <w:rFonts w:ascii="Calibri" w:hAnsi="Calibri"/>
                <w:b/>
                <w:sz w:val="19"/>
              </w:rPr>
              <w:t>Supply responsiveness</w:t>
            </w:r>
          </w:p>
        </w:tc>
        <w:tc>
          <w:tcPr>
            <w:tcW w:type="dxa" w:w="4176"/>
          </w:tcPr>
          <w:p>
            <w:pPr>
              <w:spacing w:after="40" w:before="40"/>
            </w:pPr>
            <w:r/>
            <w:r>
              <w:rPr>
                <w:rFonts w:ascii="Calibri" w:hAnsi="Calibri"/>
                <w:b w:val="0"/>
                <w:sz w:val="19"/>
              </w:rPr>
              <w:t>Supply chain reacts to work orders after failure.</w:t>
            </w:r>
          </w:p>
        </w:tc>
        <w:tc>
          <w:tcPr>
            <w:tcW w:type="dxa" w:w="3600"/>
          </w:tcPr>
          <w:p>
            <w:pPr>
              <w:spacing w:after="40" w:before="40"/>
            </w:pPr>
            <w:r/>
            <w:r>
              <w:rPr>
                <w:rFonts w:ascii="Calibri" w:hAnsi="Calibri"/>
                <w:b w:val="0"/>
                <w:sz w:val="19"/>
              </w:rPr>
              <w:t>2–4 week improvement in parts availability lead time</w:t>
            </w:r>
          </w:p>
        </w:tc>
      </w:tr>
    </w:tbl>
    <w:p>
      <w:pPr>
        <w:spacing w:after="40"/>
      </w:pPr>
    </w:p>
    <w:p>
      <w:pPr>
        <w:spacing w:after="120"/>
      </w:pPr>
      <w:r>
        <w:rPr>
          <w:b w:val="0"/>
          <w:i/>
          <w:color w:val="555F6B"/>
          <w:sz w:val="18"/>
        </w:rPr>
        <w:t>*Benchmark ranges from predictive- and condition-based-maintenance programs across defense and industry; not BEI-measured results.</w:t>
      </w:r>
    </w:p>
    <w:p>
      <w:pPr>
        <w:spacing w:before="120" w:after="0"/>
        <w:jc w:val="center"/>
      </w:pPr>
      <w:r>
        <w:drawing>
          <wp:inline xmlns:a="http://schemas.openxmlformats.org/drawingml/2006/main" xmlns:pic="http://schemas.openxmlformats.org/drawingml/2006/picture">
            <wp:extent cx="5852160" cy="2424466"/>
            <wp:docPr id="4" name="Picture 4"/>
            <wp:cNvGraphicFramePr>
              <a:graphicFrameLocks noChangeAspect="1"/>
            </wp:cNvGraphicFramePr>
            <a:graphic>
              <a:graphicData uri="http://schemas.openxmlformats.org/drawingml/2006/picture">
                <pic:pic>
                  <pic:nvPicPr>
                    <pic:cNvPr id="0" name="fig4_benchmarks.png"/>
                    <pic:cNvPicPr/>
                  </pic:nvPicPr>
                  <pic:blipFill>
                    <a:blip r:embed="rId12"/>
                    <a:stretch>
                      <a:fillRect/>
                    </a:stretch>
                  </pic:blipFill>
                  <pic:spPr>
                    <a:xfrm>
                      <a:off x="0" y="0"/>
                      <a:ext cx="5852160" cy="2424466"/>
                    </a:xfrm>
                    <a:prstGeom prst="rect"/>
                  </pic:spPr>
                </pic:pic>
              </a:graphicData>
            </a:graphic>
          </wp:inline>
        </w:drawing>
      </w:r>
    </w:p>
    <w:p>
      <w:pPr>
        <w:spacing w:after="160"/>
        <w:jc w:val="center"/>
      </w:pPr>
      <w:r>
        <w:rPr>
          <w:i/>
          <w:color w:val="555F6B"/>
          <w:sz w:val="17"/>
        </w:rPr>
        <w:t>Figure 4 — The documented opportunity. Outcome ranges reported by predictive- and condition-based-maintenance programs in defense and industry. These are the benchmarks a behavioral approach targets — not BEI-measured results; BEI-specific performance would be established in a proof of concept.</w:t>
      </w:r>
    </w:p>
    <w:p>
      <w:pPr>
        <w:spacing w:after="120"/>
      </w:pPr>
      <w:r>
        <w:rPr>
          <w:b w:val="0"/>
          <w:i w:val="0"/>
          <w:sz w:val="21"/>
        </w:rPr>
        <w:t>The stakes per platform make those percentages concrete. A single unplanned aircraft-engine event runs $150K–$500K (an engine swap means 72–96 hours of grounded aircraft); naval propulsion $200K–$1M+; rotary wing (UH-60, CH-47) $100K–$400K; ground vehicles $25K–$100K; communications and radar $30K–$150K; generators $10K–$40K. Illustrative annual savings derived from published DoD cost structures run from $5K–$20K per generator to $100K–$500K per naval propulsion plant — indicative of scale, not projected BEI results.</w:t>
      </w:r>
    </w:p>
    <w:p>
      <w:pPr>
        <w:spacing w:before="280" w:after="80"/>
      </w:pPr>
      <w:r>
        <w:rPr>
          <w:b/>
          <w:color w:val="0B1F3A"/>
          <w:sz w:val="30"/>
        </w:rPr>
        <w:t>5.  Deployment — What It Takes</w:t>
      </w:r>
    </w:p>
    <w:p>
      <w:pPr>
        <w:pStyle w:val="ListBullet"/>
        <w:spacing w:after="60"/>
      </w:pPr>
      <w:r>
        <w:rPr>
          <w:b/>
          <w:sz w:val="21"/>
        </w:rPr>
        <w:t xml:space="preserve">No new instrumentation. </w:t>
      </w:r>
      <w:r>
        <w:rPr>
          <w:sz w:val="21"/>
        </w:rPr>
        <w:t xml:space="preserve"> BEI uses data the military already collects: platform sensor feeds, maintenance logs (GCSS-Army — the Army's logistics system — and its Air Force equivalents), oil-analysis lab results, usage and deployment records, weather and location data, and DLA parts history. Initial deployment requires no new sensors.</w:t>
      </w:r>
    </w:p>
    <w:p>
      <w:pPr>
        <w:pStyle w:val="ListBullet"/>
        <w:spacing w:after="60"/>
      </w:pPr>
      <w:r>
        <w:rPr>
          <w:b/>
          <w:sz w:val="21"/>
        </w:rPr>
        <w:t xml:space="preserve">Edge plus enterprise. </w:t>
      </w:r>
      <w:r>
        <w:rPr>
          <w:sz w:val="21"/>
        </w:rPr>
        <w:t xml:space="preserve"> Behavioral profiling runs at the platform or base level ("edge"), so regime-shift alerts work even with limited connectivity; fleet-wide cohort analysis and demand-signal generation run at the enterprise level.</w:t>
      </w:r>
    </w:p>
    <w:p>
      <w:pPr>
        <w:pStyle w:val="ListBullet"/>
        <w:spacing w:after="60"/>
      </w:pPr>
      <w:r>
        <w:rPr>
          <w:b/>
          <w:sz w:val="21"/>
        </w:rPr>
        <w:t xml:space="preserve">Integrates, not replaces. </w:t>
      </w:r>
      <w:r>
        <w:rPr>
          <w:sz w:val="21"/>
        </w:rPr>
        <w:t xml:space="preserve"> Connects to existing systems — GCSS-Army for maintenance and supply, DLA's Enterprise Business System for procurement — through standard DoD data interfaces. Nothing is replaced.</w:t>
      </w:r>
    </w:p>
    <w:p>
      <w:pPr>
        <w:pStyle w:val="ListBullet"/>
        <w:spacing w:after="60"/>
      </w:pPr>
      <w:r>
        <w:rPr>
          <w:b/>
          <w:sz w:val="21"/>
        </w:rPr>
        <w:t xml:space="preserve">Timeline. </w:t>
      </w:r>
      <w:r>
        <w:rPr>
          <w:sz w:val="21"/>
        </w:rPr>
        <w:t xml:space="preserve"> Four phases: connect data and register entities (2–4 weeks); accumulate operating history to build each unit's baseline (3–6 months — the longest phase); deploy and validate detection against known maintenance events (2–4 weeks); integrate demand signals with DLA (4–8 weeks). End to end: roughly 6–9 months.</w:t>
      </w:r>
    </w:p>
    <w:p>
      <w:pPr>
        <w:pStyle w:val="ListBullet"/>
        <w:spacing w:after="60"/>
      </w:pPr>
      <w:r>
        <w:rPr>
          <w:b/>
          <w:sz w:val="21"/>
        </w:rPr>
        <w:t xml:space="preserve">First step. </w:t>
      </w:r>
      <w:r>
        <w:rPr>
          <w:sz w:val="21"/>
        </w:rPr>
        <w:t xml:space="preserve"> A 4-week proof of concept on a selected platform and installation would demonstrate behavioral profiling, zone-divergence detection, regime classification, and demand-signal generation on existing sensor and maintenance data — establishing the BEI-specific numbers this paper deliberately does not claim.</w:t>
      </w:r>
    </w:p>
    <w:p>
      <w:pPr>
        <w:spacing w:before="280" w:after="80"/>
      </w:pPr>
      <w:r>
        <w:rPr>
          <w:b/>
          <w:color w:val="0B1F3A"/>
          <w:sz w:val="30"/>
        </w:rPr>
        <w:t>6.  Why This Is New</w:t>
      </w:r>
    </w:p>
    <w:p>
      <w:pPr>
        <w:spacing w:after="120"/>
      </w:pPr>
      <w:r>
        <w:rPr>
          <w:b w:val="0"/>
          <w:i w:val="0"/>
          <w:sz w:val="21"/>
        </w:rPr>
        <w:t>Predictive maintenance is a mature industry; the individual ingredients here — sensor analytics, anomaly detection, remaining-useful-life models, oil analysis — each exist. The contribution is the composition: every serial-numbered unit as a behavioral entity in a shared semantic space; health read from relationship drift and zone divergence rather than individual thresholds; four named regimes that drive graduated action; fleet-cohort and supplier-quality inference from the same space; and — the force multiplier — behavioral predictions wired directly into DLA demand signals (what part, when, where) so the supply chain moves before the work order exists. Conventional CBM tells the maintainer a reading is out of spec; this architecture tells the maintainer what to fix, the supply chain what to ship, and the commander how long until the equipment is back.</w:t>
      </w:r>
    </w:p>
    <w:p>
      <w:pPr>
        <w:spacing w:after="120"/>
      </w:pPr>
      <w:r>
        <w:rPr>
          <w:b/>
          <w:i w:val="0"/>
          <w:sz w:val="21"/>
        </w:rPr>
        <w:t>The framework is not invented for this paper: the same zone-divergence logic operationally isolates threat signatures in cybersecurity, and the same entity-drift machinery drives the demand-forecasting work. Maintenance is the third application of one proven behavioral architecture — which is itself part of the claim: one intelligence layer, multiple mission domains.</w:t>
      </w:r>
    </w:p>
    <w:p>
      <w:pPr>
        <w:spacing w:before="280" w:after="80"/>
      </w:pPr>
      <w:r>
        <w:rPr>
          <w:b/>
          <w:color w:val="0B1F3A"/>
          <w:sz w:val="30"/>
        </w:rPr>
        <w:t>7.  Limitations — Stated Plainly</w:t>
      </w:r>
    </w:p>
    <w:p>
      <w:pPr>
        <w:pStyle w:val="ListBullet"/>
        <w:spacing w:after="60"/>
      </w:pPr>
      <w:r>
        <w:rPr>
          <w:sz w:val="21"/>
        </w:rPr>
        <w:t>This is a concept paper applying a proven framework by analogy; no maintenance-specific proof of concept has been conducted, and no BEI-measured maintenance performance exists yet.</w:t>
      </w:r>
    </w:p>
    <w:p>
      <w:pPr>
        <w:pStyle w:val="ListBullet"/>
        <w:spacing w:after="60"/>
      </w:pPr>
      <w:r>
        <w:rPr>
          <w:sz w:val="21"/>
        </w:rPr>
        <w:t>All improvement ranges are industry benchmarks for predictive/condition-based maintenance generally, not measurements of this system. Actual results will vary by platform, fleet size, environment, and current maintenance maturity.</w:t>
      </w:r>
    </w:p>
    <w:p>
      <w:pPr>
        <w:pStyle w:val="ListBullet"/>
        <w:spacing w:after="60"/>
      </w:pPr>
      <w:r>
        <w:rPr>
          <w:sz w:val="21"/>
        </w:rPr>
        <w:t>The behavioral signatures, drift magnitudes, lead times, and regime thresholds described would all need to be established and calibrated per platform type on real sensor data.</w:t>
      </w:r>
    </w:p>
    <w:p>
      <w:pPr>
        <w:pStyle w:val="ListBullet"/>
        <w:spacing w:after="60"/>
      </w:pPr>
      <w:r>
        <w:rPr>
          <w:sz w:val="21"/>
        </w:rPr>
        <w:t>Baseline establishment needs 3–6 months of operating history per unit — value arrives gradually, not on day one.</w:t>
      </w:r>
    </w:p>
    <w:p>
      <w:pPr>
        <w:pStyle w:val="ListBullet"/>
        <w:spacing w:after="60"/>
      </w:pPr>
      <w:r>
        <w:rPr>
          <w:sz w:val="21"/>
        </w:rPr>
        <w:t>Detection quality depends on the data already being collected: sparse sensor coverage or incomplete maintenance logs on a given platform would limit what the zones can see.</w:t>
      </w:r>
    </w:p>
    <w:p>
      <w:pPr>
        <w:spacing w:before="280" w:after="80"/>
      </w:pPr>
      <w:r>
        <w:rPr>
          <w:b/>
          <w:color w:val="0B1F3A"/>
          <w:sz w:val="30"/>
        </w:rPr>
        <w:t>8.  Conclusion</w:t>
      </w:r>
    </w:p>
    <w:p>
      <w:pPr>
        <w:spacing w:after="120"/>
      </w:pPr>
      <w:r>
        <w:rPr>
          <w:b w:val="0"/>
          <w:i w:val="0"/>
          <w:sz w:val="21"/>
        </w:rPr>
        <w:t>Equipment changes HOW it operates before it stops operating. A turbine approaching failure does not suddenly lose thrust — the relationships among its temperature, vibration, fuel flow, and output shift gradually for weeks. Threshold-based maintenance, watching each reading alone, structurally cannot see that shift; it learns of the failure when the failure announces itself. Behavioral Entity Intelligence watches the relationships and the direction — per individual unit, against that unit's own baseline — diagnoses the specific component from the pattern of which zone diverges, classifies the urgency into four regimes, and converts the prediction into a parts shipment already moving toward the right depot.</w:t>
      </w:r>
    </w:p>
    <w:p>
      <w:pPr>
        <w:spacing w:after="120"/>
      </w:pPr>
      <w:r>
        <w:rPr>
          <w:b/>
          <w:i w:val="0"/>
          <w:sz w:val="21"/>
        </w:rPr>
        <w:t>Traditional maintenance answers "is anything out of spec?" Prescriptive maintenance answers "what is this unit becoming, what do I fix, what do I ship, and how long do I have?" — and answers it weeks earlier.</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Digital entity / digital twin</w:t>
            </w:r>
          </w:p>
        </w:tc>
        <w:tc>
          <w:tcPr>
            <w:tcW w:type="dxa" w:w="7200"/>
          </w:tcPr>
          <w:p>
            <w:pPr>
              <w:spacing w:after="40" w:before="40"/>
            </w:pPr>
            <w:r/>
            <w:r>
              <w:rPr>
                <w:rFonts w:ascii="Calibri" w:hAnsi="Calibri"/>
                <w:b w:val="0"/>
                <w:sz w:val="18"/>
              </w:rPr>
              <w:t>A living software profile of one specific physical unit — like a patient's medical chart for a machine: history, vitals, context, and trend.</w:t>
            </w:r>
          </w:p>
        </w:tc>
      </w:tr>
      <w:tr>
        <w:tc>
          <w:tcPr>
            <w:tcW w:type="dxa" w:w="2736"/>
            <w:shd w:val="clear" w:fill="F4F6F8"/>
          </w:tcPr>
          <w:p>
            <w:pPr>
              <w:spacing w:after="40" w:before="40"/>
            </w:pPr>
            <w:r/>
            <w:r>
              <w:rPr>
                <w:rFonts w:ascii="Calibri" w:hAnsi="Calibri"/>
                <w:b/>
                <w:color w:val="0B1F3A"/>
                <w:sz w:val="18"/>
              </w:rPr>
              <w:t>BEI</w:t>
            </w:r>
          </w:p>
        </w:tc>
        <w:tc>
          <w:tcPr>
            <w:tcW w:type="dxa" w:w="7200"/>
          </w:tcPr>
          <w:p>
            <w:pPr>
              <w:spacing w:after="40" w:before="40"/>
            </w:pPr>
            <w:r/>
            <w:r>
              <w:rPr>
                <w:rFonts w:ascii="Calibri" w:hAnsi="Calibri"/>
                <w:b w:val="0"/>
                <w:sz w:val="18"/>
              </w:rPr>
              <w:t>Behavioral Entity Intelligence — our approach: reading how equipment behaves and where that behavior is heading, rather than checking readings against fixed limits.</w:t>
            </w:r>
          </w:p>
        </w:tc>
      </w:tr>
      <w:tr>
        <w:tc>
          <w:tcPr>
            <w:tcW w:type="dxa" w:w="2736"/>
            <w:shd w:val="clear" w:fill="F4F6F8"/>
          </w:tcPr>
          <w:p>
            <w:pPr>
              <w:spacing w:after="40" w:before="40"/>
            </w:pPr>
            <w:r/>
            <w:r>
              <w:rPr>
                <w:rFonts w:ascii="Calibri" w:hAnsi="Calibri"/>
                <w:b/>
                <w:color w:val="0B1F3A"/>
                <w:sz w:val="18"/>
              </w:rPr>
              <w:t>Semantic space</w:t>
            </w:r>
          </w:p>
        </w:tc>
        <w:tc>
          <w:tcPr>
            <w:tcW w:type="dxa" w:w="7200"/>
          </w:tcPr>
          <w:p>
            <w:pPr>
              <w:spacing w:after="40" w:before="40"/>
            </w:pPr>
            <w:r/>
            <w:r>
              <w:rPr>
                <w:rFonts w:ascii="Calibri" w:hAnsi="Calibri"/>
                <w:b w:val="0"/>
                <w:sz w:val="18"/>
              </w:rPr>
              <w:t>A mathematical "map of meaning": units whose behavior is similar sit near each other, even if their raw sensor numbers differ. The representation that powers large language models.</w:t>
            </w:r>
          </w:p>
        </w:tc>
      </w:tr>
      <w:tr>
        <w:tc>
          <w:tcPr>
            <w:tcW w:type="dxa" w:w="2736"/>
            <w:shd w:val="clear" w:fill="F4F6F8"/>
          </w:tcPr>
          <w:p>
            <w:pPr>
              <w:spacing w:after="40" w:before="40"/>
            </w:pPr>
            <w:r/>
            <w:r>
              <w:rPr>
                <w:rFonts w:ascii="Calibri" w:hAnsi="Calibri"/>
                <w:b/>
                <w:color w:val="0B1F3A"/>
                <w:sz w:val="18"/>
              </w:rPr>
              <w:t>CBM</w:t>
            </w:r>
          </w:p>
        </w:tc>
        <w:tc>
          <w:tcPr>
            <w:tcW w:type="dxa" w:w="7200"/>
          </w:tcPr>
          <w:p>
            <w:pPr>
              <w:spacing w:after="40" w:before="40"/>
            </w:pPr>
            <w:r/>
            <w:r>
              <w:rPr>
                <w:rFonts w:ascii="Calibri" w:hAnsi="Calibri"/>
                <w:b w:val="0"/>
                <w:sz w:val="18"/>
              </w:rPr>
              <w:t>Condition-based maintenance — today's best practice: monitor sensors and act when a reading crosses a manufacturer threshold.</w:t>
            </w:r>
          </w:p>
        </w:tc>
      </w:tr>
      <w:tr>
        <w:tc>
          <w:tcPr>
            <w:tcW w:type="dxa" w:w="2736"/>
            <w:shd w:val="clear" w:fill="F4F6F8"/>
          </w:tcPr>
          <w:p>
            <w:pPr>
              <w:spacing w:after="40" w:before="40"/>
            </w:pPr>
            <w:r/>
            <w:r>
              <w:rPr>
                <w:rFonts w:ascii="Calibri" w:hAnsi="Calibri"/>
                <w:b/>
                <w:color w:val="0B1F3A"/>
                <w:sz w:val="18"/>
              </w:rPr>
              <w:t>Prescriptive maintenance</w:t>
            </w:r>
          </w:p>
        </w:tc>
        <w:tc>
          <w:tcPr>
            <w:tcW w:type="dxa" w:w="7200"/>
          </w:tcPr>
          <w:p>
            <w:pPr>
              <w:spacing w:after="40" w:before="40"/>
            </w:pPr>
            <w:r/>
            <w:r>
              <w:rPr>
                <w:rFonts w:ascii="Calibri" w:hAnsi="Calibri"/>
                <w:b w:val="0"/>
                <w:sz w:val="18"/>
              </w:rPr>
              <w:t>The rung above predictive: not just when failure will occur, but what action to take now and what parts to stage where.</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lenses on a unit's health: vibration, thermal, power/performance, fluid chemistry, and duty cycle.</w:t>
            </w:r>
          </w:p>
        </w:tc>
      </w:tr>
      <w:tr>
        <w:tc>
          <w:tcPr>
            <w:tcW w:type="dxa" w:w="2736"/>
            <w:shd w:val="clear" w:fill="F4F6F8"/>
          </w:tcPr>
          <w:p>
            <w:pPr>
              <w:spacing w:after="40" w:before="40"/>
            </w:pPr>
            <w:r/>
            <w:r>
              <w:rPr>
                <w:rFonts w:ascii="Calibri" w:hAnsi="Calibri"/>
                <w:b/>
                <w:color w:val="0B1F3A"/>
                <w:sz w:val="18"/>
              </w:rPr>
              <w:t>Zone divergence</w:t>
            </w:r>
          </w:p>
        </w:tc>
        <w:tc>
          <w:tcPr>
            <w:tcW w:type="dxa" w:w="7200"/>
          </w:tcPr>
          <w:p>
            <w:pPr>
              <w:spacing w:after="40" w:before="40"/>
            </w:pPr>
            <w:r/>
            <w:r>
              <w:rPr>
                <w:rFonts w:ascii="Calibri" w:hAnsi="Calibri"/>
                <w:b w:val="0"/>
                <w:sz w:val="18"/>
              </w:rPr>
              <w:t>The diagnostic pattern of which zones drift and which stay stable — it names the specific failing component.</w:t>
            </w:r>
          </w:p>
        </w:tc>
      </w:tr>
      <w:tr>
        <w:tc>
          <w:tcPr>
            <w:tcW w:type="dxa" w:w="2736"/>
            <w:shd w:val="clear" w:fill="F4F6F8"/>
          </w:tcPr>
          <w:p>
            <w:pPr>
              <w:spacing w:after="40" w:before="40"/>
            </w:pPr>
            <w:r/>
            <w:r>
              <w:rPr>
                <w:rFonts w:ascii="Calibri" w:hAnsi="Calibri"/>
                <w:b/>
                <w:color w:val="0B1F3A"/>
                <w:sz w:val="18"/>
              </w:rPr>
              <w:t>Drift / velocity / acceleration</w:t>
            </w:r>
          </w:p>
        </w:tc>
        <w:tc>
          <w:tcPr>
            <w:tcW w:type="dxa" w:w="7200"/>
          </w:tcPr>
          <w:p>
            <w:pPr>
              <w:spacing w:after="40" w:before="40"/>
            </w:pPr>
            <w:r/>
            <w:r>
              <w:rPr>
                <w:rFonts w:ascii="Calibri" w:hAnsi="Calibri"/>
                <w:b w:val="0"/>
                <w:sz w:val="18"/>
              </w:rPr>
              <w:t>How a unit's behavior is moving away from its own baseline; how fast; and whether that rate is increasing (the strongest predictor of imminent failure).</w:t>
            </w:r>
          </w:p>
        </w:tc>
      </w:tr>
      <w:tr>
        <w:tc>
          <w:tcPr>
            <w:tcW w:type="dxa" w:w="2736"/>
            <w:shd w:val="clear" w:fill="F4F6F8"/>
          </w:tcPr>
          <w:p>
            <w:pPr>
              <w:spacing w:after="40" w:before="40"/>
            </w:pPr>
            <w:r/>
            <w:r>
              <w:rPr>
                <w:rFonts w:ascii="Calibri" w:hAnsi="Calibri"/>
                <w:b/>
                <w:color w:val="0B1F3A"/>
                <w:sz w:val="18"/>
              </w:rPr>
              <w:t>Regime</w:t>
            </w:r>
          </w:p>
        </w:tc>
        <w:tc>
          <w:tcPr>
            <w:tcW w:type="dxa" w:w="7200"/>
          </w:tcPr>
          <w:p>
            <w:pPr>
              <w:spacing w:after="40" w:before="40"/>
            </w:pPr>
            <w:r/>
            <w:r>
              <w:rPr>
                <w:rFonts w:ascii="Calibri" w:hAnsi="Calibri"/>
                <w:b w:val="0"/>
                <w:sz w:val="18"/>
              </w:rPr>
              <w:t>A unit's health classification — STABLE, DRIFTING, ACCELERATING, or REGIME SHIFT — each driving a defined maintenance and supply response.</w:t>
            </w:r>
          </w:p>
        </w:tc>
      </w:tr>
      <w:tr>
        <w:tc>
          <w:tcPr>
            <w:tcW w:type="dxa" w:w="2736"/>
            <w:shd w:val="clear" w:fill="F4F6F8"/>
          </w:tcPr>
          <w:p>
            <w:pPr>
              <w:spacing w:after="40" w:before="40"/>
            </w:pPr>
            <w:r/>
            <w:r>
              <w:rPr>
                <w:rFonts w:ascii="Calibri" w:hAnsi="Calibri"/>
                <w:b/>
                <w:color w:val="0B1F3A"/>
                <w:sz w:val="18"/>
              </w:rPr>
              <w:t>RUL</w:t>
            </w:r>
          </w:p>
        </w:tc>
        <w:tc>
          <w:tcPr>
            <w:tcW w:type="dxa" w:w="7200"/>
          </w:tcPr>
          <w:p>
            <w:pPr>
              <w:spacing w:after="40" w:before="40"/>
            </w:pPr>
            <w:r/>
            <w:r>
              <w:rPr>
                <w:rFonts w:ascii="Calibri" w:hAnsi="Calibri"/>
                <w:b w:val="0"/>
                <w:sz w:val="18"/>
              </w:rPr>
              <w:t>Remaining useful life — the estimated time until a unit needs intervention, stated with honest uncertainty bounds.</w:t>
            </w:r>
          </w:p>
        </w:tc>
      </w:tr>
      <w:tr>
        <w:tc>
          <w:tcPr>
            <w:tcW w:type="dxa" w:w="2736"/>
            <w:shd w:val="clear" w:fill="F4F6F8"/>
          </w:tcPr>
          <w:p>
            <w:pPr>
              <w:spacing w:after="40" w:before="40"/>
            </w:pPr>
            <w:r/>
            <w:r>
              <w:rPr>
                <w:rFonts w:ascii="Calibri" w:hAnsi="Calibri"/>
                <w:b/>
                <w:color w:val="0B1F3A"/>
                <w:sz w:val="18"/>
              </w:rPr>
              <w:t>DLA</w:t>
            </w:r>
          </w:p>
        </w:tc>
        <w:tc>
          <w:tcPr>
            <w:tcW w:type="dxa" w:w="7200"/>
          </w:tcPr>
          <w:p>
            <w:pPr>
              <w:spacing w:after="40" w:before="40"/>
            </w:pPr>
            <w:r/>
            <w:r>
              <w:rPr>
                <w:rFonts w:ascii="Calibri" w:hAnsi="Calibri"/>
                <w:b w:val="0"/>
                <w:sz w:val="18"/>
              </w:rPr>
              <w:t>Defense Logistics Agency — the DoD organization that buys and distributes spare parts and supplies.</w:t>
            </w:r>
          </w:p>
        </w:tc>
      </w:tr>
      <w:tr>
        <w:tc>
          <w:tcPr>
            <w:tcW w:type="dxa" w:w="2736"/>
            <w:shd w:val="clear" w:fill="F4F6F8"/>
          </w:tcPr>
          <w:p>
            <w:pPr>
              <w:spacing w:after="40" w:before="40"/>
            </w:pPr>
            <w:r/>
            <w:r>
              <w:rPr>
                <w:rFonts w:ascii="Calibri" w:hAnsi="Calibri"/>
                <w:b/>
                <w:color w:val="0B1F3A"/>
                <w:sz w:val="18"/>
              </w:rPr>
              <w:t>NSN</w:t>
            </w:r>
          </w:p>
        </w:tc>
        <w:tc>
          <w:tcPr>
            <w:tcW w:type="dxa" w:w="7200"/>
          </w:tcPr>
          <w:p>
            <w:pPr>
              <w:spacing w:after="40" w:before="40"/>
            </w:pPr>
            <w:r/>
            <w:r>
              <w:rPr>
                <w:rFonts w:ascii="Calibri" w:hAnsi="Calibri"/>
                <w:b w:val="0"/>
                <w:sz w:val="18"/>
              </w:rPr>
              <w:t>National Stock Number — a part's unique catalog ID across the defense supply system.</w:t>
            </w:r>
          </w:p>
        </w:tc>
      </w:tr>
      <w:tr>
        <w:tc>
          <w:tcPr>
            <w:tcW w:type="dxa" w:w="2736"/>
            <w:shd w:val="clear" w:fill="F4F6F8"/>
          </w:tcPr>
          <w:p>
            <w:pPr>
              <w:spacing w:after="40" w:before="40"/>
            </w:pPr>
            <w:r/>
            <w:r>
              <w:rPr>
                <w:rFonts w:ascii="Calibri" w:hAnsi="Calibri"/>
                <w:b/>
                <w:color w:val="0B1F3A"/>
                <w:sz w:val="18"/>
              </w:rPr>
              <w:t>GCSS-Army / EBS</w:t>
            </w:r>
          </w:p>
        </w:tc>
        <w:tc>
          <w:tcPr>
            <w:tcW w:type="dxa" w:w="7200"/>
          </w:tcPr>
          <w:p>
            <w:pPr>
              <w:spacing w:after="40" w:before="40"/>
            </w:pPr>
            <w:r/>
            <w:r>
              <w:rPr>
                <w:rFonts w:ascii="Calibri" w:hAnsi="Calibri"/>
                <w:b w:val="0"/>
                <w:sz w:val="18"/>
              </w:rPr>
              <w:t>The Army's logistics and maintenance system of record / DLA's Enterprise Business System for parts procurement.</w:t>
            </w:r>
          </w:p>
        </w:tc>
      </w:tr>
      <w:tr>
        <w:tc>
          <w:tcPr>
            <w:tcW w:type="dxa" w:w="2736"/>
            <w:shd w:val="clear" w:fill="F4F6F8"/>
          </w:tcPr>
          <w:p>
            <w:pPr>
              <w:spacing w:after="40" w:before="40"/>
            </w:pPr>
            <w:r/>
            <w:r>
              <w:rPr>
                <w:rFonts w:ascii="Calibri" w:hAnsi="Calibri"/>
                <w:b/>
                <w:color w:val="0B1F3A"/>
                <w:sz w:val="18"/>
              </w:rPr>
              <w:t>OR rate</w:t>
            </w:r>
          </w:p>
        </w:tc>
        <w:tc>
          <w:tcPr>
            <w:tcW w:type="dxa" w:w="7200"/>
          </w:tcPr>
          <w:p>
            <w:pPr>
              <w:spacing w:after="40" w:before="40"/>
            </w:pPr>
            <w:r/>
            <w:r>
              <w:rPr>
                <w:rFonts w:ascii="Calibri" w:hAnsi="Calibri"/>
                <w:b w:val="0"/>
                <w:sz w:val="18"/>
              </w:rPr>
              <w:t>Operational Readiness rate — the share of a fleet mission-capable at a given time.</w:t>
            </w:r>
          </w:p>
        </w:tc>
      </w:tr>
      <w:tr>
        <w:tc>
          <w:tcPr>
            <w:tcW w:type="dxa" w:w="2736"/>
            <w:shd w:val="clear" w:fill="F4F6F8"/>
          </w:tcPr>
          <w:p>
            <w:pPr>
              <w:spacing w:after="40" w:before="40"/>
            </w:pPr>
            <w:r/>
            <w:r>
              <w:rPr>
                <w:rFonts w:ascii="Calibri" w:hAnsi="Calibri"/>
                <w:b/>
                <w:color w:val="0B1F3A"/>
                <w:sz w:val="18"/>
              </w:rPr>
              <w:t>FOB</w:t>
            </w:r>
          </w:p>
        </w:tc>
        <w:tc>
          <w:tcPr>
            <w:tcW w:type="dxa" w:w="7200"/>
          </w:tcPr>
          <w:p>
            <w:pPr>
              <w:spacing w:after="40" w:before="40"/>
            </w:pPr>
            <w:r/>
            <w:r>
              <w:rPr>
                <w:rFonts w:ascii="Calibri" w:hAnsi="Calibri"/>
                <w:b w:val="0"/>
                <w:sz w:val="18"/>
              </w:rPr>
              <w:t>Forward Operating Base — a deployed military outpost.</w:t>
            </w:r>
          </w:p>
        </w:tc>
      </w:tr>
      <w:tr>
        <w:tc>
          <w:tcPr>
            <w:tcW w:type="dxa" w:w="2736"/>
            <w:shd w:val="clear" w:fill="F4F6F8"/>
          </w:tcPr>
          <w:p>
            <w:pPr>
              <w:spacing w:after="40" w:before="40"/>
            </w:pPr>
            <w:r/>
            <w:r>
              <w:rPr>
                <w:rFonts w:ascii="Calibri" w:hAnsi="Calibri"/>
                <w:b/>
                <w:color w:val="0B1F3A"/>
                <w:sz w:val="18"/>
              </w:rPr>
              <w:t>GAO</w:t>
            </w:r>
          </w:p>
        </w:tc>
        <w:tc>
          <w:tcPr>
            <w:tcW w:type="dxa" w:w="7200"/>
          </w:tcPr>
          <w:p>
            <w:pPr>
              <w:spacing w:after="40" w:before="40"/>
            </w:pPr>
            <w:r/>
            <w:r>
              <w:rPr>
                <w:rFonts w:ascii="Calibri" w:hAnsi="Calibri"/>
                <w:b w:val="0"/>
                <w:sz w:val="18"/>
              </w:rPr>
              <w:t>Government Accountability Office — the U.S. Congress's audit and evaluation agency.</w:t>
            </w:r>
          </w:p>
        </w:tc>
      </w:tr>
      <w:tr>
        <w:tc>
          <w:tcPr>
            <w:tcW w:type="dxa" w:w="2736"/>
            <w:shd w:val="clear" w:fill="F4F6F8"/>
          </w:tcPr>
          <w:p>
            <w:pPr>
              <w:spacing w:after="40" w:before="40"/>
            </w:pPr>
            <w:r/>
            <w:r>
              <w:rPr>
                <w:rFonts w:ascii="Calibri" w:hAnsi="Calibri"/>
                <w:b/>
                <w:color w:val="0B1F3A"/>
                <w:sz w:val="18"/>
              </w:rPr>
              <w:t>Cohort</w:t>
            </w:r>
          </w:p>
        </w:tc>
        <w:tc>
          <w:tcPr>
            <w:tcW w:type="dxa" w:w="7200"/>
          </w:tcPr>
          <w:p>
            <w:pPr>
              <w:spacing w:after="40" w:before="40"/>
            </w:pPr>
            <w:r/>
            <w:r>
              <w:rPr>
                <w:rFonts w:ascii="Calibri" w:hAnsi="Calibri"/>
                <w:b w:val="0"/>
                <w:sz w:val="18"/>
              </w:rPr>
              <w:t>A group of units with similar behavioral profiles; what happens to some members is an early warning for the rest.</w:t>
            </w:r>
          </w:p>
        </w:tc>
      </w:tr>
    </w:tbl>
    <w:p>
      <w:pPr>
        <w:spacing w:after="120"/>
      </w:pPr>
      <w:r>
        <w:rPr>
          <w:b w:val="0"/>
          <w:i w:val="0"/>
          <w:sz w:val="21"/>
        </w:rPr>
      </w:r>
    </w:p>
    <w:p>
      <w:pPr>
        <w:spacing w:after="120"/>
      </w:pPr>
      <w:r>
        <w:rPr>
          <w:b w:val="0"/>
          <w:i/>
          <w:color w:val="555F6B"/>
          <w:sz w:val="18"/>
        </w:rPr>
        <w:t>Business Edition — architecture-level disclosure. Exact model logic, drift mathematics, zone composition, regime criteria, and thresholds are proprietary and available in the full technical edition under NDA. This is a concept paper: all improvement ranges are industry benchmarks, and BEI-specific maintenance performance would be established through a proof of concept on real platform data.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