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of behavioral intelligence: what it is, what it detects that current tools miss, and what the evidence shows</w:t>
      </w:r>
    </w:p>
    <w:p>
      <w:pPr>
        <w:spacing w:after="40"/>
      </w:pPr>
      <w:r>
        <w:rPr>
          <w:b w:val="0"/>
          <w:i w:val="0"/>
          <w:color w:val="555F6B"/>
          <w:sz w:val="19"/>
        </w:rPr>
        <w:t>22nd Century Technologies, Inc.  ·  V-Intelligence UEBA Program  ·  June 2026  ·  Business Edition</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remaining within the statistical bounds of normal activity while shifting their behavior gradually over months.</w:t>
      </w:r>
    </w:p>
    <w:p>
      <w:pPr>
        <w:spacing w:after="120"/>
      </w:pPr>
      <w:r>
        <w:rPr>
          <w:b w:val="0"/>
          <w:i w:val="0"/>
          <w:sz w:val="21"/>
        </w:rPr>
        <w:t>This paper presents the business case for User and Entity Behavior Analytics (UEBA), a detection approach that establishes a behavioral baseline for every user and system and then evaluates both how much behavior changes and the direction in which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The principal findings:</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That single detection was a statistical spike with no accompanying explanation of which behavior changed or what kind of threat it resembled.</w:t>
      </w:r>
    </w:p>
    <w:p>
      <w:pPr>
        <w:pStyle w:val="ListBullet"/>
        <w:spacing w:after="60"/>
      </w:pPr>
      <w:r>
        <w:rPr>
          <w:b/>
          <w:sz w:val="21"/>
        </w:rPr>
        <w:t xml:space="preserve">Four of four detected, with direction. </w:t>
      </w:r>
      <w:r>
        <w:rPr>
          <w:sz w:val="21"/>
        </w:rPr>
        <w:t>V-Intelligence's multi-phase composite scoring detected all four attack campaigns at an 8.1% false-positive rate (20 of 246 normal users flagged), and identified for the analyst which behavioral dimension drifted and toward what known threat pattern.</w:t>
      </w:r>
    </w:p>
    <w:p>
      <w:pPr>
        <w:pStyle w:val="ListBullet"/>
        <w:spacing w:after="60"/>
      </w:pPr>
      <w:r>
        <w:rPr>
          <w:b/>
          <w:sz w:val="21"/>
        </w:rPr>
        <w:t xml:space="preserve">The hardest case, detected. </w:t>
      </w:r>
      <w:r>
        <w:rPr>
          <w:sz w:val="21"/>
        </w:rPr>
        <w:t>A slow nation-state intrusion whose behavior barely changes in volume is the hardest case in the study. It is invisible to every magnitude-based method, yet a single behavioral question detected it: whether a never-before-seen contact point recurred week after week. It had done so for 60 consecutive weeks.</w:t>
      </w:r>
    </w:p>
    <w:p>
      <w:pPr>
        <w:spacing w:after="120"/>
      </w:pPr>
      <w:r>
        <w:rPr>
          <w:b/>
          <w:i w:val="0"/>
          <w:sz w:val="21"/>
        </w:rPr>
        <w:t>The underlying distinction is straightforward. An insider changes what they access rather than how much; traditional algorithms measure magnitude, whereas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the central log-collection platform that applies expert-written rules to identify known attack patterns. The second is signature-based detection: antivirus and intrusion-detection tools that match activity against IOCs (Indicators of Compromise, such as known-bad file fingerprints, addresses, and domains). Both answer the same question, namely whether the activity matches something already known to be malicious.</w:t>
      </w:r>
    </w:p>
    <w:p>
      <w:pPr>
        <w:spacing w:after="120"/>
      </w:pPr>
      <w:r>
        <w:rPr>
          <w:b w:val="0"/>
          <w:i w:val="0"/>
          <w:sz w:val="21"/>
        </w:rPr>
        <w:t>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typically nation-state, that gains a foothold and remains for months or years. Its covert command-and-control (C2) channel, through which the implant calls home for instructions, is deliberately throttled to a trickle, with a check-in roughly every 12 hours and only kilobytes of traffic that are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such as PowerShell, remote desktop, and management utilities. There is no malware to fingerprint and no rule to violate, because every action is, in isolation, an authorized one.</w:t>
      </w:r>
    </w:p>
    <w:p>
      <w:pPr>
        <w:spacing w:after="120"/>
      </w:pPr>
      <w:r>
        <w:rPr>
          <w:b w:val="0"/>
          <w:i w:val="0"/>
          <w:sz w:val="21"/>
        </w:rPr>
        <w:t>The common technique is known as "slow and low": behavior is changed so gradually that no single week appears unusual, while the cumulative change over months achieves the objective. In the simulated slow-APT campaign, the implant's call-home traffic begins at one or two domain lookups per day and roughly 8 kilobytes of traffic, indistinguishable from software-update checks, and even at full operation it stays below every volume threshold. After 26 weeks the attacker has staged and removed gigabytes of data in packets too small to trigger any single alert.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well documented. Neither Volt Typhoon nor Salt Typhoon was detected by any victim organization's own monitoring; SIEM, intrusion detection, and endpoint tools all failed because there was no signature to match and no threshold crossed. Both were found by external intelligence operations, years or months after compromise. This is a structural gap rather than a tuning problem, and it is the gap that behavioral analytics is intended to address.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decisive one. A user whose file activity rises 50% might be working against a deadline (benign) or staging data for theft (critical), and a magnitude-only tool flags both identically, or neither. The discriminating signal is the direction of change, for example a shift toward restricted data or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is that V-Intelligence maintains a "digital entity," a living behavioral profile, for every monitored user and system. The closest analogy is a patient's medical chart. A chart does not record only today's temperature; it accumulates history, vitals, and context, and a doctor reads the trend to act before a condition becomes acute. The digital entity is that chart for behavior. It captures not merely how many files were opened but the surrounding context, and, importantly,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each representing a distinct dimension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central architectural choice. When the identity zone is stable but the data-behavior zone is drifting, the system can conclude that this is the same person using the same credentials but accessing different data than before. That conclusion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To compare behaviors, V-Intelligence borrows the core representation used by large language models. Each week's measurements are first written out as a structured plain-language description (for example, "30 files, 15% restricted, 8% confidential" rather than simply "30 files"), and that description is converted into a high-dimensional numerical vector called an embedding. The result is a semantic space, a map of meaning in which behaviors that mean similar things sit near each other even when their raw numbers differ.</w:t>
      </w:r>
    </w:p>
    <w:p>
      <w:pPr>
        <w:spacing w:after="120"/>
      </w:pPr>
      <w:r>
        <w:rPr>
          <w:b w:val="0"/>
          <w:i w:val="0"/>
          <w:sz w:val="21"/>
        </w:rPr>
        <w:t>This addresses a specific limitation of raw numbers. The simulated insider accessed about 30 files per week both before and during the campaign, so on raw counts nothing changed. Week one, however, consisted of public files and week forty of restricted files, and on the map of meaning those two weeks sit far apart. In validation, cumulative drift was measured both ways. On raw numbers, all four attackers stayed buried in the population of 246 normal users, ranked between #90 and #133 and effectively indistinguishable. On semantic embeddings, three of the four climbed clear of the population, with the insider reaching #1, above every normal user. The fourth, the slow APT, stays buried even in drift space and is caught instead by the novelty question (Section 5.3). This is the empirical reason that no single signal is sufficient and that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the direction in which behavior is trending, together with its rate and consistency. A cumulative change-detection technique, from the same family used to catch slow degradation in industrial quality control, accumulates small weekly shifts until they become statistically significant, which is what allows the system to catch "slow and low" activity. The exact accumulation logic, thresholds, and parameters are proprietary and are withheld in this edition.</w:t>
      </w:r>
    </w:p>
    <w:p>
      <w:pPr>
        <w:spacing w:after="120"/>
      </w:pPr>
      <w:r>
        <w:rPr>
          <w:b w:val="0"/>
          <w:i w:val="0"/>
          <w:sz w:val="21"/>
        </w:rPr>
        <w:t>Direction is then named. The system maintains a library of reference threat concepts, which are plain-language descriptions of known adversary behaviors embedded into the same map and aligned with MITRE ATT&amp;CK, the industry-standard public catalog of adversary tactics and techniques. When an entity's drift points toward "data staging for exfiltration" or "covert beaconing," the alert states this and attaches the matching ATT&amp;CK techniques. Each simulated campaign was built from, and is reported against, real documented technique sets.</w:t>
      </w:r>
    </w:p>
    <w:p>
      <w:pPr>
        <w:spacing w:after="120"/>
      </w:pPr>
      <w:r>
        <w:rPr>
          <w:b w:val="0"/>
          <w:i w:val="0"/>
          <w:sz w:val="21"/>
        </w:rPr>
        <w:t>Each attack family produces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because each attack evades a different detector. The production approach is composite scoring. Five independent behavioral questions are asked of every user, and the answers are combined into a single ranked risk score. A normal user may score high on one question by chance, whereas an attacker tends to score high on several at once. The questions are as follows (the exact scoring logic is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but combined they form a detection surface that no single evasion defeats. An attacker who suppresses magnitude still registers on breadth, and one who stays narrow still registers on persistence or novelty. The SOC (Security Operations Center, meaning the analyst team) receives one ranked list rather than thousands of raw alerts.</w:t>
      </w:r>
    </w:p>
    <w:p>
      <w:pPr>
        <w:spacing w:before="280" w:after="80"/>
      </w:pPr>
      <w:r>
        <w:rPr>
          <w:b/>
          <w:color w:val="0B1F3A"/>
          <w:sz w:val="30"/>
        </w:rPr>
        <w:t>5.  What the Evidence Shows (Synthetic Data)</w:t>
      </w:r>
    </w:p>
    <w:p>
      <w:pPr>
        <w:spacing w:before="160" w:after="60"/>
      </w:pPr>
      <w:r>
        <w:rPr>
          <w:b/>
          <w:color w:val="C25A12"/>
          <w:sz w:val="24"/>
        </w:rPr>
        <w:t>5.1  The scoreboard first</w:t>
      </w:r>
    </w:p>
    <w:p>
      <w:pPr>
        <w:spacing w:after="120"/>
      </w:pPr>
      <w:r>
        <w:rPr>
          <w:b w:val="0"/>
          <w:i w:val="0"/>
          <w:sz w:val="21"/>
        </w:rPr>
        <w:t>Four industry-standard anomaly-detection algorithms (Z-Score statistics, Isolation Forest, Local Outlier Factor, and One-Class SVM, or Support Vector Machine) were run against the full 250-user population alongside composite scoring.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Stated precisely, the best traditional method catches 1 of 4 campaigns, and its single detection is a single-feature spike with no explanation attached. The composite catches all four at a comparable false-positive rate and reports to the analyst which behavioral zone changed and toward what threat pattern, which is the information triage actually consumes. The result is not merely an alert but an actionable investigation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demonstrating empirically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with 18 measurements elevated at once.</w:t>
      </w:r>
    </w:p>
    <w:p>
      <w:pPr>
        <w:pStyle w:val="ListBullet"/>
        <w:spacing w:after="60"/>
      </w:pPr>
      <w:r>
        <w:rPr>
          <w:b/>
          <w:sz w:val="21"/>
        </w:rPr>
        <w:t xml:space="preserve">Insider threat (rank #2): </w:t>
      </w:r>
      <w:r>
        <w:rPr>
          <w:sz w:val="21"/>
        </w:rPr>
        <w:t>ranked #2 (score 46.2), caught by sustained deviation and breadth. The campaign showed a 14-month drift from public toward restricted files while total volume stayed flat, the textbook "same credentials, different data" signature.</w:t>
      </w:r>
    </w:p>
    <w:p>
      <w:pPr>
        <w:pStyle w:val="ListBullet"/>
        <w:spacing w:after="60"/>
      </w:pPr>
      <w:r>
        <w:rPr>
          <w:b/>
          <w:sz w:val="21"/>
        </w:rPr>
        <w:t xml:space="preserve">Slow APT (rank #7): </w:t>
      </w:r>
      <w:r>
        <w:rPr>
          <w:sz w:val="21"/>
        </w:rPr>
        <w:t>ranked #7 (score 19.4), the case that motivates the architecture and is detailed below.</w:t>
      </w:r>
    </w:p>
    <w:p>
      <w:pPr>
        <w:pStyle w:val="ListBullet"/>
        <w:spacing w:after="60"/>
      </w:pPr>
      <w:r>
        <w:rPr>
          <w:b/>
          <w:sz w:val="21"/>
        </w:rPr>
        <w:t xml:space="preserve">Volt Typhoon living-off-the-land (rank #24): </w:t>
      </w:r>
      <w:r>
        <w:rPr>
          <w:sz w:val="21"/>
        </w:rPr>
        <w:t>ranked #24 of 250 (score 13.7). This was a deliberately quiet campaign using only legitimate admin tools, yet it remained inside the top 10% and above the detection threshold on the strength of breadth and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and its total traffic, lookups, and sign-ins all stayed within normal ranges. On every magnitude-based phase its scores are negligible. Without the novelty question, its composite score would be 6.4, a rank of roughly #105 of 250 and far below any reasonable threshold, leaving it effectively undetectable.</w:t>
      </w:r>
    </w:p>
    <w:p>
      <w:pPr>
        <w:spacing w:after="120"/>
      </w:pPr>
      <w:r>
        <w:rPr>
          <w:b w:val="0"/>
          <w:i w:val="0"/>
          <w:sz w:val="21"/>
        </w:rPr>
        <w:t>Novelty persistence asks a different question, namely whether something never seen before keeps recurring. One external address that never appeared in the user's baseline subsequently appeared in every one of the 60 post-baseline weeks, a persistence of 100%. Normal users contact new addresses occasionally, but those contacts are transient. A new contact that recurs every week for over a year is the behavioral fingerprint of command-and-control infrastructure. That single signal contributes 13.0 points, the largest phase contribution of any attacker, lifting USR-234 from rank ~#105 to rank #7 and placing it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constitute a prioritized queue of the highest-behavioral-risk normal users, each explained by the phases that drove its score. The threshold is tunable, and a stricter cut trades detection margin for fewer flags. The simulated real-world parallels also held: the two campaigns that no real victim organization ever self-detected, Volt Typhoon and Salt Typhoon, were both detected here, at ranks #24 and #1.</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uses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that most enterprises already collect (sign-ins, file access, endpoint telemetry, network flow, and domain lookups), together with data-sensitivity labels. No additional sensors are required.</w:t>
      </w:r>
    </w:p>
    <w:p>
      <w:pPr>
        <w:pStyle w:val="ListBullet"/>
        <w:spacing w:after="60"/>
      </w:pPr>
      <w:r>
        <w:rPr>
          <w:b/>
          <w:sz w:val="21"/>
        </w:rPr>
        <w:t xml:space="preserve">Timeline. </w:t>
      </w:r>
      <w:r>
        <w:rPr>
          <w:sz w:val="21"/>
        </w:rPr>
        <w:t>A phased rollout consisting of 4–6 weeks of baseline building, 2–4 weeks of detection tuning (with a target of false positives under 10%), 2–4 weeks of red-team validation, and then production.</w:t>
      </w:r>
    </w:p>
    <w:p>
      <w:pPr>
        <w:pStyle w:val="ListBullet"/>
        <w:spacing w:after="60"/>
      </w:pPr>
      <w:r>
        <w:rPr>
          <w:b/>
          <w:sz w:val="21"/>
        </w:rPr>
        <w:t xml:space="preserve">Footprint. </w:t>
      </w:r>
      <w:r>
        <w:rPr>
          <w:sz w:val="21"/>
        </w:rPr>
        <w:t>Containerized, standard infrastructure with no specialized hardware, suitable for enterprise data centers, cloud, or disconnected secure environments. Behavioral profiles are computed incrementally, so the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and behavioral risk scores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perform per-entity baselining with statistical or machine-learning anomaly scores. What they produce is magnitude: a number indicating that behavior is different, without indicating the direction that would distinguish, for example, insider exfiltration from benign change. The individual techniques used here (serializing structured data to text for embedding, anomaly detection in embedding space, cumulative change-detection, and novelty tracking)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including insiders, nation-state intrusions, living-off-the-land campaigns, and infrastructure compromises,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val="0"/>
          <w:i w:val="0"/>
          <w:sz w:val="21"/>
        </w:rPr>
        <w:t>V-Intelligence UEBA maintains a living behavioral chart for every user and system, interprets it in a map of meaning rather than in raw numbers, accumulates slow drift until it is statistically significant, names the direction against known adversary behavior, and combines five independent behavioral questions into one ranked and explained list. On a 250-user, 485-day validation with four embedded campaigns, it detected 4 of 4, compared with 1 of 4 for the best traditional method, at an 8.1% false-positive rate and with every detection explained.</w:t>
      </w:r>
    </w:p>
    <w:p>
      <w:pPr>
        <w:spacing w:after="120"/>
      </w:pPr>
      <w:r>
        <w:rPr>
          <w:b/>
          <w:i w:val="0"/>
          <w:sz w:val="21"/>
        </w:rPr>
        <w:t>An insider changes what they access rather than how much, and an APT changes where it communicates rather than how often. Traditional tools measure magnitude; V-Intelligence UEBA measures direction, which is the dimension in which these attacks are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