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Traditional Security Monitoring vs. V-Intelligence UEBA</w:t>
      </w:r>
    </w:p>
    <w:p>
      <w:pPr>
        <w:spacing w:after="40"/>
      </w:pPr>
      <w:r>
        <w:rPr>
          <w:b w:val="0"/>
          <w:i w:val="0"/>
          <w:color w:val="555F6B"/>
          <w:sz w:val="25"/>
        </w:rPr>
        <w:t>A business and technology overview — what behavioral intelligence is, what it detects that today's tools miss, and what the evidence shows</w:t>
      </w:r>
    </w:p>
    <w:p>
      <w:pPr>
        <w:spacing w:after="40"/>
      </w:pPr>
      <w:r>
        <w:rPr>
          <w:b w:val="0"/>
          <w:i w:val="0"/>
          <w:color w:val="555F6B"/>
          <w:sz w:val="19"/>
        </w:rPr>
        <w:t>22nd Century Technologies, Inc.  ·  V-Intelligence UEBA Program  ·  June 2026  ·  Business Edition</w:t>
      </w:r>
    </w:p>
    <w:p>
      <w:pPr>
        <w:spacing w:after="40"/>
        <w:jc w:val="center"/>
      </w:pPr>
      <w:r>
        <w:rPr>
          <w:b/>
          <w:color w:val="0B1F3A"/>
          <w:sz w:val="24"/>
        </w:rPr>
        <w:t>Prepared for: United States Army - Office of the Chief of Artificial Intelligence</w:t>
      </w:r>
    </w:p>
    <w:p>
      <w:pPr>
        <w:spacing w:after="80"/>
      </w:pPr>
      <w:r>
        <w:rPr>
          <w:b w:val="0"/>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pPr>
        <w:spacing w:after="120"/>
      </w:pPr>
      <w:r>
        <w:rPr>
          <w:b w:val="0"/>
          <w:i w:val="0"/>
          <w:sz w:val="21"/>
        </w:rP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pPr>
        <w:spacing w:after="120"/>
      </w:pPr>
      <w:r>
        <w:rPr>
          <w:b/>
          <w:i w:val="0"/>
          <w:sz w:val="21"/>
        </w:rPr>
        <w:t>What the evidence shows, stated honestly: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pPr>
        <w:pStyle w:val="ListBullet"/>
        <w:spacing w:after="60"/>
      </w:pPr>
      <w:r>
        <w:rPr>
          <w:b/>
          <w:sz w:val="21"/>
        </w:rPr>
        <w:t xml:space="preserve">4 of 4 detected — with direction. </w:t>
      </w:r>
      <w:r>
        <w:rPr>
          <w:sz w:val="21"/>
        </w:rPr>
        <w:t>V-Intelligence's multi-phase composite scoring detects all four attack campaigns at an 8.1% false-positive rate (20 of 246 normal users flagged), and tells the analyst which behavioral dimension drifted and toward what known threat pattern.</w:t>
      </w:r>
    </w:p>
    <w:p>
      <w:pPr>
        <w:pStyle w:val="ListBullet"/>
        <w:spacing w:after="60"/>
      </w:pPr>
      <w:r>
        <w:rPr>
          <w:b/>
          <w:sz w:val="21"/>
        </w:rPr>
        <w:t xml:space="preserve">The "undetectable" attack, detected. </w:t>
      </w:r>
      <w:r>
        <w:rPr>
          <w:sz w:val="21"/>
        </w:rP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pPr>
        <w:spacing w:after="120"/>
      </w:pPr>
      <w:r>
        <w:rPr>
          <w:b/>
          <w:i w:val="0"/>
          <w:sz w:val="21"/>
        </w:rPr>
        <w:t>The key insight in one line: the insider changes WHAT they access, not HOW MUCH. Traditional algorithms measure magnitude. V-Intelligence UEBA measures direction.</w:t>
      </w:r>
    </w:p>
    <w:p>
      <w:pPr>
        <w:spacing w:before="280" w:after="80"/>
      </w:pPr>
      <w:r>
        <w:rPr>
          <w:b/>
          <w:color w:val="0B1F3A"/>
          <w:sz w:val="30"/>
        </w:rPr>
        <w:t>2.  The Problem: Attacks Built to Stay Under the Alarm</w:t>
      </w:r>
    </w:p>
    <w:p>
      <w:pPr>
        <w:spacing w:after="120"/>
      </w:pPr>
      <w:r>
        <w:rPr>
          <w:b w:val="0"/>
          <w:i w:val="0"/>
          <w:sz w:val="21"/>
        </w:rPr>
        <w:t>Enterprise security monitoring today rests on two pillars. The first is the SIEM (Security Information and Event Management system) — the central log-collection platform that applies expert-written rules to spot known attack 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pPr>
        <w:spacing w:after="120"/>
      </w:pPr>
      <w:r>
        <w:rPr>
          <w:b w:val="0"/>
          <w:i w:val="0"/>
          <w:sz w:val="21"/>
        </w:rPr>
        <w:t>Modern adversaries are engineered to make the answer "no." Three threat families dominate:</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pPr>
        <w:pStyle w:val="ListBullet"/>
        <w:spacing w:after="60"/>
      </w:pPr>
      <w:r>
        <w:rPr>
          <w:b/>
          <w:sz w:val="21"/>
        </w:rPr>
        <w:t xml:space="preserve">Living-off-the-land attacks. </w:t>
      </w:r>
      <w:r>
        <w:rPr>
          <w:sz w:val="21"/>
        </w:rPr>
        <w:t>"Living off the land" (LOTL) attacks use only the administration tools already installed on every system — PowerShell, remote desktop, management utilities. There is no malware to fingerprint and no rule to violate: every action is, in isolation, an authorized one.</w:t>
      </w:r>
    </w:p>
    <w:p>
      <w:pPr>
        <w:spacing w:after="120"/>
      </w:pPr>
      <w:r>
        <w:rPr>
          <w:b w:val="0"/>
          <w:i w:val="0"/>
          <w:sz w:val="21"/>
        </w:rP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pPr>
        <w:spacing w:before="280" w:after="80"/>
      </w:pPr>
      <w:r>
        <w:rPr>
          <w:b/>
          <w:color w:val="0B1F3A"/>
          <w:sz w:val="30"/>
        </w:rPr>
        <w:t>3.  What Is UEBA — and What Is Different Here</w:t>
      </w:r>
    </w:p>
    <w:p>
      <w:pPr>
        <w:spacing w:after="120"/>
      </w:pPr>
      <w:r>
        <w:rPr>
          <w:b w:val="0"/>
          <w:i w:val="0"/>
          <w:sz w:val="21"/>
        </w:rPr>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0B1F3A"/>
          </w:tcPr>
          <w:p>
            <w:pPr>
              <w:spacing w:after="40" w:before="40"/>
            </w:pPr>
            <w:r/>
            <w:r>
              <w:rPr>
                <w:rFonts w:ascii="Calibri" w:hAnsi="Calibri"/>
                <w:b/>
                <w:color w:val="FFFFFF"/>
                <w:sz w:val="19"/>
              </w:rPr>
              <w:t>Principle</w:t>
            </w:r>
          </w:p>
        </w:tc>
        <w:tc>
          <w:tcPr>
            <w:tcW w:type="dxa" w:w="2160"/>
            <w:shd w:val="clear" w:fill="0B1F3A"/>
          </w:tcPr>
          <w:p>
            <w:pPr>
              <w:spacing w:after="40" w:before="40"/>
            </w:pPr>
            <w:r/>
            <w:r>
              <w:rPr>
                <w:rFonts w:ascii="Calibri" w:hAnsi="Calibri"/>
                <w:b/>
                <w:color w:val="FFFFFF"/>
                <w:sz w:val="19"/>
              </w:rPr>
              <w:t>Question asked</w:t>
            </w:r>
          </w:p>
        </w:tc>
        <w:tc>
          <w:tcPr>
            <w:tcW w:type="dxa" w:w="2880"/>
            <w:shd w:val="clear" w:fill="0B1F3A"/>
          </w:tcPr>
          <w:p>
            <w:pPr>
              <w:spacing w:after="40" w:before="40"/>
            </w:pPr>
            <w:r/>
            <w:r>
              <w:rPr>
                <w:rFonts w:ascii="Calibri" w:hAnsi="Calibri"/>
                <w:b/>
                <w:color w:val="FFFFFF"/>
                <w:sz w:val="19"/>
              </w:rPr>
              <w:t>Traditional answer</w:t>
            </w:r>
          </w:p>
        </w:tc>
        <w:tc>
          <w:tcPr>
            <w:tcW w:type="dxa" w:w="3456"/>
            <w:shd w:val="clear" w:fill="0B1F3A"/>
          </w:tcPr>
          <w:p>
            <w:pPr>
              <w:spacing w:after="40" w:before="40"/>
            </w:pPr>
            <w:r/>
            <w:r>
              <w:rPr>
                <w:rFonts w:ascii="Calibri" w:hAnsi="Calibri"/>
                <w:b/>
                <w:color w:val="FFFFFF"/>
                <w:sz w:val="19"/>
              </w:rPr>
              <w:t>UEBA answer</w:t>
            </w:r>
          </w:p>
        </w:tc>
      </w:tr>
      <w:tr>
        <w:tc>
          <w:tcPr>
            <w:tcW w:type="dxa" w:w="1440"/>
            <w:shd w:val="clear" w:fill="F4F6F8"/>
          </w:tcPr>
          <w:p>
            <w:pPr>
              <w:spacing w:after="40" w:before="40"/>
            </w:pPr>
            <w:r/>
            <w:r>
              <w:rPr>
                <w:rFonts w:ascii="Calibri" w:hAnsi="Calibri"/>
                <w:b/>
                <w:sz w:val="19"/>
              </w:rPr>
              <w:t>Baseline</w:t>
            </w:r>
          </w:p>
        </w:tc>
        <w:tc>
          <w:tcPr>
            <w:tcW w:type="dxa" w:w="2160"/>
          </w:tcPr>
          <w:p>
            <w:pPr>
              <w:spacing w:after="40" w:before="40"/>
            </w:pPr>
            <w:r/>
            <w:r>
              <w:rPr>
                <w:rFonts w:ascii="Calibri" w:hAnsi="Calibri"/>
                <w:b w:val="0"/>
                <w:sz w:val="19"/>
              </w:rPr>
              <w:t>What is normal?</w:t>
            </w:r>
          </w:p>
        </w:tc>
        <w:tc>
          <w:tcPr>
            <w:tcW w:type="dxa" w:w="2880"/>
          </w:tcPr>
          <w:p>
            <w:pPr>
              <w:spacing w:after="40" w:before="40"/>
            </w:pPr>
            <w:r/>
            <w:r>
              <w:rPr>
                <w:rFonts w:ascii="Calibri" w:hAnsi="Calibri"/>
                <w:b w:val="0"/>
                <w:sz w:val="19"/>
              </w:rPr>
              <w:t>One statistical threshold for everyone.</w:t>
            </w:r>
          </w:p>
        </w:tc>
        <w:tc>
          <w:tcPr>
            <w:tcW w:type="dxa" w:w="3456"/>
          </w:tcPr>
          <w:p>
            <w:pPr>
              <w:spacing w:after="40" w:before="40"/>
            </w:pPr>
            <w:r/>
            <w:r>
              <w:rPr>
                <w:rFonts w:ascii="Calibri" w:hAnsi="Calibri"/>
                <w:b w:val="0"/>
                <w:sz w:val="19"/>
              </w:rPr>
              <w:t>A personal behavioral profile per entity — each has its own "normal."</w:t>
            </w:r>
          </w:p>
        </w:tc>
      </w:tr>
      <w:tr>
        <w:tc>
          <w:tcPr>
            <w:tcW w:type="dxa" w:w="1440"/>
            <w:shd w:val="clear" w:fill="F4F6F8"/>
          </w:tcPr>
          <w:p>
            <w:pPr>
              <w:spacing w:after="40" w:before="40"/>
            </w:pPr>
            <w:r/>
            <w:r>
              <w:rPr>
                <w:rFonts w:ascii="Calibri" w:hAnsi="Calibri"/>
                <w:b/>
                <w:sz w:val="19"/>
              </w:rPr>
              <w:t>Deviation</w:t>
            </w:r>
          </w:p>
        </w:tc>
        <w:tc>
          <w:tcPr>
            <w:tcW w:type="dxa" w:w="2160"/>
          </w:tcPr>
          <w:p>
            <w:pPr>
              <w:spacing w:after="40" w:before="40"/>
            </w:pPr>
            <w:r/>
            <w:r>
              <w:rPr>
                <w:rFonts w:ascii="Calibri" w:hAnsi="Calibri"/>
                <w:b w:val="0"/>
                <w:sz w:val="19"/>
              </w:rPr>
              <w:t>Has something changed?</w:t>
            </w:r>
          </w:p>
        </w:tc>
        <w:tc>
          <w:tcPr>
            <w:tcW w:type="dxa" w:w="2880"/>
          </w:tcPr>
          <w:p>
            <w:pPr>
              <w:spacing w:after="40" w:before="40"/>
            </w:pPr>
            <w:r/>
            <w:r>
              <w:rPr>
                <w:rFonts w:ascii="Calibri" w:hAnsi="Calibri"/>
                <w:b w:val="0"/>
                <w:sz w:val="19"/>
              </w:rPr>
              <w:t>A measurement exceeded a fixed limit.</w:t>
            </w:r>
          </w:p>
        </w:tc>
        <w:tc>
          <w:tcPr>
            <w:tcW w:type="dxa" w:w="3456"/>
          </w:tcPr>
          <w:p>
            <w:pPr>
              <w:spacing w:after="40" w:before="40"/>
            </w:pPr>
            <w:r/>
            <w:r>
              <w:rPr>
                <w:rFonts w:ascii="Calibri" w:hAnsi="Calibri"/>
                <w:b w:val="0"/>
                <w:sz w:val="19"/>
              </w:rPr>
              <w:t>The entity's behavioral trajectory is drifting from its own baseline.</w:t>
            </w:r>
          </w:p>
        </w:tc>
      </w:tr>
      <w:tr>
        <w:tc>
          <w:tcPr>
            <w:tcW w:type="dxa" w:w="1440"/>
            <w:shd w:val="clear" w:fill="F4F6F8"/>
          </w:tcPr>
          <w:p>
            <w:pPr>
              <w:spacing w:after="40" w:before="40"/>
            </w:pPr>
            <w:r/>
            <w:r>
              <w:rPr>
                <w:rFonts w:ascii="Calibri" w:hAnsi="Calibri"/>
                <w:b/>
                <w:sz w:val="19"/>
              </w:rPr>
              <w:t>Direction</w:t>
            </w:r>
          </w:p>
        </w:tc>
        <w:tc>
          <w:tcPr>
            <w:tcW w:type="dxa" w:w="2160"/>
          </w:tcPr>
          <w:p>
            <w:pPr>
              <w:spacing w:after="40" w:before="40"/>
            </w:pPr>
            <w:r/>
            <w:r>
              <w:rPr>
                <w:rFonts w:ascii="Calibri" w:hAnsi="Calibri"/>
                <w:b w:val="0"/>
                <w:sz w:val="19"/>
              </w:rPr>
              <w:t>What kind of change?</w:t>
            </w:r>
          </w:p>
        </w:tc>
        <w:tc>
          <w:tcPr>
            <w:tcW w:type="dxa" w:w="2880"/>
          </w:tcPr>
          <w:p>
            <w:pPr>
              <w:spacing w:after="40" w:before="40"/>
            </w:pPr>
            <w:r/>
            <w:r>
              <w:rPr>
                <w:rFonts w:ascii="Calibri" w:hAnsi="Calibri"/>
                <w:b w:val="0"/>
                <w:sz w:val="19"/>
              </w:rPr>
              <w:t>Not considered — magnitude only.</w:t>
            </w:r>
          </w:p>
        </w:tc>
        <w:tc>
          <w:tcPr>
            <w:tcW w:type="dxa" w:w="3456"/>
          </w:tcPr>
          <w:p>
            <w:pPr>
              <w:spacing w:after="40" w:before="40"/>
            </w:pPr>
            <w:r/>
            <w:r>
              <w:rPr>
                <w:rFonts w:ascii="Calibri" w:hAnsi="Calibri"/>
                <w:b w:val="0"/>
                <w:sz w:val="19"/>
              </w:rPr>
              <w:t>Which behavioral dimension is drifting, and toward what known threat pattern.</w:t>
            </w:r>
          </w:p>
        </w:tc>
      </w:tr>
    </w:tbl>
    <w:p>
      <w:pPr>
        <w:spacing w:after="40"/>
      </w:pPr>
    </w:p>
    <w:p>
      <w:pPr>
        <w:spacing w:after="120"/>
      </w:pPr>
      <w:r>
        <w:rPr>
          <w:b w:val="0"/>
          <w:i w:val="0"/>
          <w:sz w:val="21"/>
        </w:rP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pPr>
        <w:spacing w:before="280" w:after="80"/>
      </w:pPr>
      <w:r>
        <w:rPr>
          <w:b/>
          <w:color w:val="0B1F3A"/>
          <w:sz w:val="30"/>
        </w:rPr>
        <w:t>4.  The V-Intelligence Approach: A Living Chart for Every Entity</w:t>
      </w:r>
    </w:p>
    <w:p>
      <w:pPr>
        <w:spacing w:before="160" w:after="60"/>
      </w:pPr>
      <w:r>
        <w:rPr>
          <w:b/>
          <w:color w:val="C25A12"/>
          <w:sz w:val="24"/>
        </w:rPr>
        <w:t>4.1  The digital entity — a patient's medical chart for behavior</w:t>
      </w:r>
    </w:p>
    <w:p>
      <w:pPr>
        <w:spacing w:after="120"/>
      </w:pPr>
      <w:r>
        <w:rPr>
          <w:b w:val="0"/>
          <w:i w:val="0"/>
          <w:sz w:val="21"/>
        </w:rP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pPr>
        <w:spacing w:after="120"/>
      </w:pPr>
      <w:r>
        <w:rPr>
          <w:b w:val="0"/>
          <w:i w:val="0"/>
          <w:sz w:val="21"/>
        </w:rP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 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after="120"/>
      </w:pPr>
      <w:r>
        <w:rPr>
          <w:b w:val="0"/>
          <w:i w:val="0"/>
          <w:sz w:val="21"/>
        </w:rP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pPr>
        <w:spacing w:before="160" w:after="60"/>
      </w:pPr>
      <w:r>
        <w:rPr>
          <w:b/>
          <w:color w:val="C25A12"/>
          <w:sz w:val="24"/>
        </w:rPr>
        <w:t>4.2  Semantic embeddings — a map of meaning</w:t>
      </w:r>
    </w:p>
    <w:p>
      <w:pPr>
        <w:spacing w:after="120"/>
      </w:pPr>
      <w:r>
        <w:rPr>
          <w:b w:val="0"/>
          <w:i w:val="0"/>
          <w:sz w:val="21"/>
        </w:rPr>
        <w:t>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behaviors that mean similar things sit near each other, even when their raw numbers differ.</w:t>
      </w:r>
    </w:p>
    <w:p>
      <w:pPr>
        <w:spacing w:after="120"/>
      </w:pPr>
      <w:r>
        <w:rPr>
          <w:b w:val="0"/>
          <w:i w:val="0"/>
          <w:sz w:val="21"/>
        </w:rP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pPr>
        <w:spacing w:before="120" w:after="0"/>
        <w:jc w:val="center"/>
      </w:pPr>
      <w:r>
        <w:drawing>
          <wp:inline xmlns:a="http://schemas.openxmlformats.org/drawingml/2006/main" xmlns:pic="http://schemas.openxmlformats.org/drawingml/2006/picture">
            <wp:extent cx="5852160" cy="2682240"/>
            <wp:docPr id="2" name="Picture 2"/>
            <wp:cNvGraphicFramePr>
              <a:graphicFrameLocks noChangeAspect="1"/>
            </wp:cNvGraphicFramePr>
            <a:graphic>
              <a:graphicData uri="http://schemas.openxmlformats.org/drawingml/2006/picture">
                <pic:pic>
                  <pic:nvPicPr>
                    <pic:cNvPr id="0" name="fig4_semantic.png"/>
                    <pic:cNvPicPr/>
                  </pic:nvPicPr>
                  <pic:blipFill>
                    <a:blip r:embed="rId10"/>
                    <a:stretch>
                      <a:fillRect/>
                    </a:stretch>
                  </pic:blipFill>
                  <pic:spPr>
                    <a:xfrm>
                      <a:off x="0" y="0"/>
                      <a:ext cx="5852160" cy="2682240"/>
                    </a:xfrm>
                    <a:prstGeom prst="rect"/>
                  </pic:spPr>
                </pic:pic>
              </a:graphicData>
            </a:graphic>
          </wp:inline>
        </w:drawing>
      </w:r>
    </w:p>
    <w:p>
      <w:pPr>
        <w:spacing w:after="160"/>
        <w:jc w:val="center"/>
      </w:pPr>
      <w:r>
        <w:rPr>
          <w:i/>
          <w:color w:val="555F6B"/>
          <w:sz w:val="17"/>
        </w:rPr>
        <w:t>Figure 2 — All 250 users, both representations (measured, synthetic data). Left: each user's final cumulative-drift score on the 23 raw metrics, sorted — the four attackers (colored) land mid-pack at ranks #90–#133, indistinguishable from normal users. Right: cumulative drift in semantic embedding space over the full 70 weeks — the insider rises to #1 (above every normal user), Salt Typhoon to #4, Volt Typhoon to #13. The slow APT stays buried in drift and is caught by novelty persistence instead (Figure 5).</w:t>
      </w:r>
    </w:p>
    <w:p>
      <w:pPr>
        <w:spacing w:before="160" w:after="60"/>
      </w:pPr>
      <w:r>
        <w:rPr>
          <w:b/>
          <w:color w:val="C25A12"/>
          <w:sz w:val="24"/>
        </w:rPr>
        <w:t>4.3  Drift, direction, and naming the threat</w:t>
      </w:r>
    </w:p>
    <w:p>
      <w:pPr>
        <w:spacing w:after="120"/>
      </w:pPr>
      <w:r>
        <w:rPr>
          <w:b w:val="0"/>
          <w:i w:val="0"/>
          <w:sz w:val="21"/>
        </w:rPr>
        <w:t>Tracking each entity's weekly position on the map produces a trajectory, and the trajectory yields drift — the direction behavior is trending, plus how fast and how consistently. A cumulative change-detection technique (the same family used to catch slow degradation in industrial quality control) accumulates small weekly shifts until they become statistically undeniable — this is what catches "slow and low." The exact accumulation logic, thresholds, and parameters are proprietary and withheld in this edition.</w:t>
      </w:r>
    </w:p>
    <w:p>
      <w:pPr>
        <w:spacing w:after="120"/>
      </w:pPr>
      <w:r>
        <w:rPr>
          <w:b w:val="0"/>
          <w:i w:val="0"/>
          <w:sz w:val="21"/>
        </w:rPr>
        <w:t>Direction is then named. The system maintains a library of reference threat concepts — plain-language descriptions of known adversary behaviors, themselves embedded into the same map — aligned with MITRE ATT&amp;CK, the industry-standard public catalog of adversary tactics and techniques. When an entity's drift points toward "data staging for exfiltration" or "covert beaconing," the alert says so, with the matching ATT&amp;CK techniques attached. Each simulated campaign was built from, and is reported against, real documented technique sets.</w:t>
      </w:r>
    </w:p>
    <w:p>
      <w:pPr>
        <w:spacing w:after="120"/>
      </w:pPr>
      <w:r>
        <w:rPr>
          <w:b w:val="0"/>
          <w:i w:val="0"/>
          <w:sz w:val="21"/>
        </w:rPr>
        <w:t>Each attack family writes a recognizably different signature on the chart: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Threat</w:t>
            </w:r>
          </w:p>
        </w:tc>
        <w:tc>
          <w:tcPr>
            <w:tcW w:type="dxa" w:w="4320"/>
            <w:shd w:val="clear" w:fill="0B1F3A"/>
          </w:tcPr>
          <w:p>
            <w:pPr>
              <w:spacing w:after="40" w:before="40"/>
            </w:pPr>
            <w:r/>
            <w:r>
              <w:rPr>
                <w:rFonts w:ascii="Calibri" w:hAnsi="Calibri"/>
                <w:b/>
                <w:color w:val="FFFFFF"/>
                <w:sz w:val="19"/>
              </w:rPr>
              <w:t>Behavioral signature</w:t>
            </w:r>
          </w:p>
        </w:tc>
        <w:tc>
          <w:tcPr>
            <w:tcW w:type="dxa" w:w="3600"/>
            <w:shd w:val="clear" w:fill="0B1F3A"/>
          </w:tcPr>
          <w:p>
            <w:pPr>
              <w:spacing w:after="40" w:before="40"/>
            </w:pPr>
            <w:r/>
            <w:r>
              <w:rPr>
                <w:rFonts w:ascii="Calibri" w:hAnsi="Calibri"/>
                <w:b/>
                <w:color w:val="FFFFFF"/>
                <w:sz w:val="19"/>
              </w:rPr>
              <w:t>Real-world parallel</w:t>
            </w:r>
          </w:p>
        </w:tc>
      </w:tr>
      <w:tr>
        <w:tc>
          <w:tcPr>
            <w:tcW w:type="dxa" w:w="2016"/>
            <w:shd w:val="clear" w:fill="F4F6F8"/>
          </w:tcPr>
          <w:p>
            <w:pPr>
              <w:spacing w:after="40" w:before="40"/>
            </w:pPr>
            <w:r/>
            <w:r>
              <w:rPr>
                <w:rFonts w:ascii="Calibri" w:hAnsi="Calibri"/>
                <w:b/>
                <w:sz w:val="19"/>
              </w:rPr>
              <w:t>Insider threat</w:t>
            </w:r>
          </w:p>
        </w:tc>
        <w:tc>
          <w:tcPr>
            <w:tcW w:type="dxa" w:w="4320"/>
          </w:tcPr>
          <w:p>
            <w:pPr>
              <w:spacing w:after="40" w:before="40"/>
            </w:pPr>
            <w:r/>
            <w:r>
              <w:rPr>
                <w:rFonts w:ascii="Calibri" w:hAnsi="Calibri"/>
                <w:b w:val="0"/>
                <w:sz w:val="19"/>
              </w:rPr>
              <w:t>Identity zone stable; data-behavior zone drifting steadily for months.</w:t>
            </w:r>
          </w:p>
        </w:tc>
        <w:tc>
          <w:tcPr>
            <w:tcW w:type="dxa" w:w="3600"/>
          </w:tcPr>
          <w:p>
            <w:pPr>
              <w:spacing w:after="40" w:before="40"/>
            </w:pPr>
            <w:r/>
            <w:r>
              <w:rPr>
                <w:rFonts w:ascii="Calibri" w:hAnsi="Calibri"/>
                <w:b w:val="0"/>
                <w:sz w:val="19"/>
              </w:rPr>
              <w:t>Snowden, Manning; departing-employee IP theft.</w:t>
            </w:r>
          </w:p>
        </w:tc>
      </w:tr>
      <w:tr>
        <w:tc>
          <w:tcPr>
            <w:tcW w:type="dxa" w:w="2016"/>
            <w:shd w:val="clear" w:fill="F4F6F8"/>
          </w:tcPr>
          <w:p>
            <w:pPr>
              <w:spacing w:after="40" w:before="40"/>
            </w:pPr>
            <w:r/>
            <w:r>
              <w:rPr>
                <w:rFonts w:ascii="Calibri" w:hAnsi="Calibri"/>
                <w:b/>
                <w:sz w:val="19"/>
              </w:rPr>
              <w:t>Slow APT (covert C2)</w:t>
            </w:r>
          </w:p>
        </w:tc>
        <w:tc>
          <w:tcPr>
            <w:tcW w:type="dxa" w:w="4320"/>
          </w:tcPr>
          <w:p>
            <w:pPr>
              <w:spacing w:after="40" w:before="40"/>
            </w:pPr>
            <w:r/>
            <w:r>
              <w:rPr>
                <w:rFonts w:ascii="Calibri" w:hAnsi="Calibri"/>
                <w:b w:val="0"/>
                <w:sz w:val="19"/>
              </w:rPr>
              <w:t>Identity stable; network-footprint zone drifting — new recurring external contacts.</w:t>
            </w:r>
          </w:p>
        </w:tc>
        <w:tc>
          <w:tcPr>
            <w:tcW w:type="dxa" w:w="3600"/>
          </w:tcPr>
          <w:p>
            <w:pPr>
              <w:spacing w:after="40" w:before="40"/>
            </w:pPr>
            <w:r/>
            <w:r>
              <w:rPr>
                <w:rFonts w:ascii="Calibri" w:hAnsi="Calibri"/>
                <w:b w:val="0"/>
                <w:sz w:val="19"/>
              </w:rPr>
              <w:t>SolarWinds/SUNBURST: 9 months undetected, 18,000+ organizations.</w:t>
            </w:r>
          </w:p>
        </w:tc>
      </w:tr>
      <w:tr>
        <w:tc>
          <w:tcPr>
            <w:tcW w:type="dxa" w:w="2016"/>
            <w:shd w:val="clear" w:fill="F4F6F8"/>
          </w:tcPr>
          <w:p>
            <w:pPr>
              <w:spacing w:after="40" w:before="40"/>
            </w:pPr>
            <w:r/>
            <w:r>
              <w:rPr>
                <w:rFonts w:ascii="Calibri" w:hAnsi="Calibri"/>
                <w:b/>
                <w:sz w:val="19"/>
              </w:rPr>
              <w:t>Living off the land</w:t>
            </w:r>
          </w:p>
        </w:tc>
        <w:tc>
          <w:tcPr>
            <w:tcW w:type="dxa" w:w="4320"/>
          </w:tcPr>
          <w:p>
            <w:pPr>
              <w:spacing w:after="40" w:before="40"/>
            </w:pPr>
            <w:r/>
            <w:r>
              <w:rPr>
                <w:rFonts w:ascii="Calibri" w:hAnsi="Calibri"/>
                <w:b w:val="0"/>
                <w:sz w:val="19"/>
              </w:rPr>
              <w:t>A regime shift — all five zones step to a new operating mode at once.</w:t>
            </w:r>
          </w:p>
        </w:tc>
        <w:tc>
          <w:tcPr>
            <w:tcW w:type="dxa" w:w="3600"/>
          </w:tcPr>
          <w:p>
            <w:pPr>
              <w:spacing w:after="40" w:before="40"/>
            </w:pPr>
            <w:r/>
            <w:r>
              <w:rPr>
                <w:rFonts w:ascii="Calibri" w:hAnsi="Calibri"/>
                <w:b w:val="0"/>
                <w:sz w:val="19"/>
              </w:rPr>
              <w:t>Volt Typhoon: 5+ years undetected in U.S. critical infrastructure.</w:t>
            </w:r>
          </w:p>
        </w:tc>
      </w:tr>
      <w:tr>
        <w:tc>
          <w:tcPr>
            <w:tcW w:type="dxa" w:w="2016"/>
            <w:shd w:val="clear" w:fill="F4F6F8"/>
          </w:tcPr>
          <w:p>
            <w:pPr>
              <w:spacing w:after="40" w:before="40"/>
            </w:pPr>
            <w:r/>
            <w:r>
              <w:rPr>
                <w:rFonts w:ascii="Calibri" w:hAnsi="Calibri"/>
                <w:b/>
                <w:sz w:val="19"/>
              </w:rPr>
              <w:t>Telecom infrastructure</w:t>
            </w:r>
          </w:p>
        </w:tc>
        <w:tc>
          <w:tcPr>
            <w:tcW w:type="dxa" w:w="4320"/>
          </w:tcPr>
          <w:p>
            <w:pPr>
              <w:spacing w:after="40" w:before="40"/>
            </w:pPr>
            <w:r/>
            <w:r>
              <w:rPr>
                <w:rFonts w:ascii="Calibri" w:hAnsi="Calibri"/>
                <w:b w:val="0"/>
                <w:sz w:val="19"/>
              </w:rPr>
              <w:t>Persistent multi-zone drift — network and data zones moving together for 100+ days.</w:t>
            </w:r>
          </w:p>
        </w:tc>
        <w:tc>
          <w:tcPr>
            <w:tcW w:type="dxa" w:w="3600"/>
          </w:tcPr>
          <w:p>
            <w:pPr>
              <w:spacing w:after="40" w:before="40"/>
            </w:pPr>
            <w:r/>
            <w:r>
              <w:rPr>
                <w:rFonts w:ascii="Calibri" w:hAnsi="Calibri"/>
                <w:b w:val="0"/>
                <w:sz w:val="19"/>
              </w:rPr>
              <w:t>Salt Typhoon: at least 9 U.S. telecom providers compromised.</w:t>
            </w:r>
          </w:p>
        </w:tc>
      </w:tr>
    </w:tbl>
    <w:p>
      <w:pPr>
        <w:spacing w:after="40"/>
      </w:pPr>
    </w:p>
    <w:p>
      <w:pPr>
        <w:spacing w:before="160" w:after="60"/>
      </w:pPr>
      <w:r>
        <w:rPr>
          <w:b/>
          <w:color w:val="C25A12"/>
          <w:sz w:val="24"/>
        </w:rPr>
        <w:t>4.4  Multi-phase composite scoring — five questions, one ranked list</w:t>
      </w:r>
    </w:p>
    <w:p>
      <w:pPr>
        <w:spacing w:after="120"/>
      </w:pPr>
      <w:r>
        <w:rPr>
          <w:b w:val="0"/>
          <w:i w:val="0"/>
          <w:sz w:val="21"/>
        </w:rPr>
        <w:t>No single signal catches all four families — each attack evades a different detector. The production answer is composite scoring: five independent behavioral questions are asked of every user, and the answers fuse into a single ranked risk score. A normal user may score high on one question by chance; an attacker scores high on several at once. The questions (exact scoring logic withheld):</w:t>
      </w:r>
    </w:p>
    <w:tbl>
      <w:tblPr>
        <w:tblStyle w:val="TableGrid"/>
        <w:tblW w:type="auto" w:w="0"/>
        <w:jc w:val="center"/>
        <w:tblLook w:firstColumn="1" w:firstRow="1" w:lastColumn="0" w:lastRow="0" w:noHBand="0" w:noVBand="1" w:val="04A0"/>
      </w:tblPr>
      <w:tblGrid>
        <w:gridCol w:w="4896"/>
        <w:gridCol w:w="4896"/>
      </w:tblGrid>
      <w:tr>
        <w:tc>
          <w:tcPr>
            <w:tcW w:type="dxa" w:w="2304"/>
            <w:shd w:val="clear" w:fill="0B1F3A"/>
          </w:tcPr>
          <w:p>
            <w:pPr>
              <w:spacing w:after="40" w:before="40"/>
            </w:pPr>
            <w:r/>
            <w:r>
              <w:rPr>
                <w:rFonts w:ascii="Calibri" w:hAnsi="Calibri"/>
                <w:b/>
                <w:color w:val="FFFFFF"/>
                <w:sz w:val="19"/>
              </w:rPr>
              <w:t>Phase</w:t>
            </w:r>
          </w:p>
        </w:tc>
        <w:tc>
          <w:tcPr>
            <w:tcW w:type="dxa" w:w="7632"/>
            <w:shd w:val="clear" w:fill="0B1F3A"/>
          </w:tcPr>
          <w:p>
            <w:pPr>
              <w:spacing w:after="40" w:before="40"/>
            </w:pPr>
            <w:r/>
            <w:r>
              <w:rPr>
                <w:rFonts w:ascii="Calibri" w:hAnsi="Calibri"/>
                <w:b/>
                <w:color w:val="FFFFFF"/>
                <w:sz w:val="19"/>
              </w:rPr>
              <w:t>The question it asks</w:t>
            </w:r>
          </w:p>
        </w:tc>
      </w:tr>
      <w:tr>
        <w:tc>
          <w:tcPr>
            <w:tcW w:type="dxa" w:w="2304"/>
            <w:shd w:val="clear" w:fill="F4F6F8"/>
          </w:tcPr>
          <w:p>
            <w:pPr>
              <w:spacing w:after="40" w:before="40"/>
            </w:pPr>
            <w:r/>
            <w:r>
              <w:rPr>
                <w:rFonts w:ascii="Calibri" w:hAnsi="Calibri"/>
                <w:b/>
                <w:sz w:val="19"/>
              </w:rPr>
              <w:t>Signal strength</w:t>
            </w:r>
          </w:p>
        </w:tc>
        <w:tc>
          <w:tcPr>
            <w:tcW w:type="dxa" w:w="7632"/>
          </w:tcPr>
          <w:p>
            <w:pPr>
              <w:spacing w:after="40" w:before="40"/>
            </w:pPr>
            <w:r/>
            <w:r>
              <w:rPr>
                <w:rFonts w:ascii="Calibri" w:hAnsi="Calibri"/>
                <w:b w:val="0"/>
                <w:sz w:val="19"/>
              </w:rPr>
              <w:t>How extreme are this user's strongest deviations, compared with peers in the same role?</w:t>
            </w:r>
          </w:p>
        </w:tc>
      </w:tr>
      <w:tr>
        <w:tc>
          <w:tcPr>
            <w:tcW w:type="dxa" w:w="2304"/>
            <w:shd w:val="clear" w:fill="F4F6F8"/>
          </w:tcPr>
          <w:p>
            <w:pPr>
              <w:spacing w:after="40" w:before="40"/>
            </w:pPr>
            <w:r/>
            <w:r>
              <w:rPr>
                <w:rFonts w:ascii="Calibri" w:hAnsi="Calibri"/>
                <w:b/>
                <w:sz w:val="19"/>
              </w:rPr>
              <w:t>Breadth</w:t>
            </w:r>
          </w:p>
        </w:tc>
        <w:tc>
          <w:tcPr>
            <w:tcW w:type="dxa" w:w="7632"/>
          </w:tcPr>
          <w:p>
            <w:pPr>
              <w:spacing w:after="40" w:before="40"/>
            </w:pPr>
            <w:r/>
            <w:r>
              <w:rPr>
                <w:rFonts w:ascii="Calibri" w:hAnsi="Calibri"/>
                <w:b w:val="0"/>
                <w:sz w:val="19"/>
              </w:rPr>
              <w:t>How many different behavioral measurements are elevated at once — one noisy metric, or a pattern?</w:t>
            </w:r>
          </w:p>
        </w:tc>
      </w:tr>
      <w:tr>
        <w:tc>
          <w:tcPr>
            <w:tcW w:type="dxa" w:w="2304"/>
            <w:shd w:val="clear" w:fill="F4F6F8"/>
          </w:tcPr>
          <w:p>
            <w:pPr>
              <w:spacing w:after="40" w:before="40"/>
            </w:pPr>
            <w:r/>
            <w:r>
              <w:rPr>
                <w:rFonts w:ascii="Calibri" w:hAnsi="Calibri"/>
                <w:b/>
                <w:sz w:val="19"/>
              </w:rPr>
              <w:t>Sustained deviation</w:t>
            </w:r>
          </w:p>
        </w:tc>
        <w:tc>
          <w:tcPr>
            <w:tcW w:type="dxa" w:w="7632"/>
          </w:tcPr>
          <w:p>
            <w:pPr>
              <w:spacing w:after="40" w:before="40"/>
            </w:pPr>
            <w:r/>
            <w:r>
              <w:rPr>
                <w:rFonts w:ascii="Calibri" w:hAnsi="Calibri"/>
                <w:b w:val="0"/>
                <w:sz w:val="19"/>
              </w:rPr>
              <w:t>Does the anomaly persist week after week, or was it a one-off event?</w:t>
            </w:r>
          </w:p>
        </w:tc>
      </w:tr>
      <w:tr>
        <w:tc>
          <w:tcPr>
            <w:tcW w:type="dxa" w:w="2304"/>
            <w:shd w:val="clear" w:fill="F4F6F8"/>
          </w:tcPr>
          <w:p>
            <w:pPr>
              <w:spacing w:after="40" w:before="40"/>
            </w:pPr>
            <w:r/>
            <w:r>
              <w:rPr>
                <w:rFonts w:ascii="Calibri" w:hAnsi="Calibri"/>
                <w:b/>
                <w:sz w:val="19"/>
              </w:rPr>
              <w:t>Context divergence</w:t>
            </w:r>
          </w:p>
        </w:tc>
        <w:tc>
          <w:tcPr>
            <w:tcW w:type="dxa" w:w="7632"/>
          </w:tcPr>
          <w:p>
            <w:pPr>
              <w:spacing w:after="40" w:before="40"/>
            </w:pPr>
            <w:r/>
            <w:r>
              <w:rPr>
                <w:rFonts w:ascii="Calibri" w:hAnsi="Calibri"/>
                <w:b w:val="0"/>
                <w:sz w:val="19"/>
              </w:rPr>
              <w:t>Does the user look anomalous when viewed through attack-specific lenses (insider lens, APT-hunt lens, privilege-audit lens)?</w:t>
            </w:r>
          </w:p>
        </w:tc>
      </w:tr>
      <w:tr>
        <w:tc>
          <w:tcPr>
            <w:tcW w:type="dxa" w:w="2304"/>
            <w:shd w:val="clear" w:fill="F4F6F8"/>
          </w:tcPr>
          <w:p>
            <w:pPr>
              <w:spacing w:after="40" w:before="40"/>
            </w:pPr>
            <w:r/>
            <w:r>
              <w:rPr>
                <w:rFonts w:ascii="Calibri" w:hAnsi="Calibri"/>
                <w:b/>
                <w:sz w:val="19"/>
              </w:rPr>
              <w:t>Novelty persistence</w:t>
            </w:r>
          </w:p>
        </w:tc>
        <w:tc>
          <w:tcPr>
            <w:tcW w:type="dxa" w:w="7632"/>
          </w:tcPr>
          <w:p>
            <w:pPr>
              <w:spacing w:after="40" w:before="40"/>
            </w:pPr>
            <w:r/>
            <w:r>
              <w:rPr>
                <w:rFonts w:ascii="Calibri" w:hAnsi="Calibri"/>
                <w:b w:val="0"/>
                <w:sz w:val="19"/>
              </w:rPr>
              <w:t>Has a never-before-seen behavior — a new external contact point, a new domain — appeared and kept recurring?</w:t>
            </w:r>
          </w:p>
        </w:tc>
      </w:tr>
    </w:tbl>
    <w:p>
      <w:pPr>
        <w:spacing w:after="40"/>
      </w:pPr>
    </w:p>
    <w:p>
      <w:pPr>
        <w:spacing w:after="120"/>
      </w:pPr>
      <w:r>
        <w:rPr>
          <w:b w:val="0"/>
          <w:i w:val="0"/>
          <w:sz w:val="21"/>
        </w:rP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pPr>
        <w:spacing w:before="280" w:after="80"/>
      </w:pPr>
      <w:r>
        <w:rPr>
          <w:b/>
          <w:color w:val="0B1F3A"/>
          <w:sz w:val="30"/>
        </w:rPr>
        <w:t>5.  What the Evidence Shows (Synthetic Data)</w:t>
      </w:r>
    </w:p>
    <w:p>
      <w:pPr>
        <w:spacing w:before="160" w:after="60"/>
      </w:pPr>
      <w:r>
        <w:rPr>
          <w:b/>
          <w:color w:val="C25A12"/>
          <w:sz w:val="24"/>
        </w:rPr>
        <w:t>5.1  The honest scoreboard first</w:t>
      </w:r>
    </w:p>
    <w:p>
      <w:pPr>
        <w:spacing w:after="120"/>
      </w:pPr>
      <w:r>
        <w:rPr>
          <w:b w:val="0"/>
          <w:i w:val="0"/>
          <w:sz w:val="21"/>
        </w:rPr>
        <w:t>Four industry-standard anomaly-detection algorithms — Z-Score statistics, Isolation Forest, Local Outlier Factor, and One-Class SVM (Support Vector Machine) — were run against the full 250-user population alongside composite scoring. We report the result without spin —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728"/>
            <w:shd w:val="clear" w:fill="0B1F3A"/>
          </w:tcPr>
          <w:p>
            <w:pPr>
              <w:spacing w:after="40" w:before="40"/>
            </w:pPr>
            <w:r/>
            <w:r>
              <w:rPr>
                <w:rFonts w:ascii="Calibri" w:hAnsi="Calibri"/>
                <w:b/>
                <w:color w:val="FFFFFF"/>
                <w:sz w:val="19"/>
              </w:rPr>
              <w:t>False-positive rate</w:t>
            </w:r>
          </w:p>
        </w:tc>
        <w:tc>
          <w:tcPr>
            <w:tcW w:type="dxa" w:w="4032"/>
            <w:shd w:val="clear" w:fill="0B1F3A"/>
          </w:tcPr>
          <w:p>
            <w:pPr>
              <w:spacing w:after="40" w:before="40"/>
            </w:pPr>
            <w:r/>
            <w:r>
              <w:rPr>
                <w:rFonts w:ascii="Calibri" w:hAnsi="Calibri"/>
                <w:b/>
                <w:color w:val="FFFFFF"/>
                <w:sz w:val="19"/>
              </w:rPr>
              <w:t>What the analyst gets</w:t>
            </w:r>
          </w:p>
        </w:tc>
      </w:tr>
      <w:tr>
        <w:tc>
          <w:tcPr>
            <w:tcW w:type="dxa" w:w="2448"/>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448"/>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728"/>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the Volt Typhoon spike (z = 3.04, barely over the 3.0 line). The other three never cross it — Salt Typhoon peaks at z = 1.71.</w:t>
            </w:r>
          </w:p>
        </w:tc>
      </w:tr>
      <w:tr>
        <w:tc>
          <w:tcPr>
            <w:tcW w:type="dxa" w:w="2448"/>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448"/>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36 false positives and zero true detections.</w:t>
            </w:r>
          </w:p>
        </w:tc>
      </w:tr>
      <w:tr>
        <w:tc>
          <w:tcPr>
            <w:tcW w:type="dxa" w:w="2448"/>
            <w:shd w:val="clear" w:fill="F4F6F8"/>
          </w:tcPr>
          <w:p>
            <w:pPr>
              <w:spacing w:after="40" w:before="40"/>
            </w:pPr>
            <w:r/>
            <w:r>
              <w:rPr>
                <w:rFonts w:ascii="Calibri" w:hAnsi="Calibri"/>
                <w:b/>
                <w:sz w:val="19"/>
              </w:rPr>
              <w:t>V-Intelligence Composite</w:t>
            </w:r>
          </w:p>
        </w:tc>
        <w:tc>
          <w:tcPr>
            <w:tcW w:type="dxa" w:w="1728"/>
          </w:tcPr>
          <w:p>
            <w:pPr>
              <w:spacing w:after="40" w:before="40"/>
            </w:pPr>
            <w:r/>
            <w:r>
              <w:rPr>
                <w:rFonts w:ascii="Calibri" w:hAnsi="Calibri"/>
                <w:b w:val="0"/>
                <w:sz w:val="19"/>
              </w:rPr>
              <w:t>4 of 4</w:t>
            </w:r>
          </w:p>
        </w:tc>
        <w:tc>
          <w:tcPr>
            <w:tcW w:type="dxa" w:w="1728"/>
          </w:tcPr>
          <w:p>
            <w:pPr>
              <w:spacing w:after="40" w:before="40"/>
            </w:pPr>
            <w:r/>
            <w:r>
              <w:rPr>
                <w:rFonts w:ascii="Calibri" w:hAnsi="Calibri"/>
                <w:b w:val="0"/>
                <w:sz w:val="19"/>
              </w:rPr>
              <w:t>8.1%</w:t>
            </w:r>
          </w:p>
        </w:tc>
        <w:tc>
          <w:tcPr>
            <w:tcW w:type="dxa" w:w="4032"/>
          </w:tcPr>
          <w:p>
            <w:pPr>
              <w:spacing w:after="40" w:before="40"/>
            </w:pPr>
            <w:r/>
            <w:r>
              <w:rPr>
                <w:rFonts w:ascii="Calibri" w:hAnsi="Calibri"/>
                <w:b w:val="0"/>
                <w:sz w:val="19"/>
              </w:rPr>
              <w:t>All four detected, each with zone-level explanation: which dimension drifted, toward what threat.</w:t>
            </w:r>
          </w:p>
        </w:tc>
      </w:tr>
    </w:tbl>
    <w:p>
      <w:pPr>
        <w:spacing w:after="40"/>
      </w:pPr>
    </w:p>
    <w:p>
      <w:pPr>
        <w:spacing w:after="120"/>
      </w:pPr>
      <w:r>
        <w:rPr>
          <w:b/>
          <w:i w:val="0"/>
          <w:sz w:val="21"/>
        </w:rPr>
        <w:t>The value claim, stated precisely: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it is a better lead.</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2_scoreboard.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detection scoreboard across 250 users with four embedded attack campaigns (measured, synthetic data; verified against the evaluation dataset). Traditional methods catch at most 1 of 4; composite scoring catches 4 of 4 at 8.1% false positives, each detection explained.</w:t>
      </w:r>
    </w:p>
    <w:p>
      <w:pPr>
        <w:spacing w:before="160" w:after="60"/>
      </w:pPr>
      <w:r>
        <w:rPr>
          <w:b/>
          <w:color w:val="C25A12"/>
          <w:sz w:val="24"/>
        </w:rPr>
        <w:t>5.2  Four attacks, four different fingerprints</w:t>
      </w:r>
    </w:p>
    <w:p>
      <w:pPr>
        <w:spacing w:after="120"/>
      </w:pPr>
      <w:r>
        <w:rPr>
          <w:b w:val="0"/>
          <w:i w:val="0"/>
          <w:sz w:val="21"/>
        </w:rPr>
        <w:t>Each campaign was caught by a different combination of the five phases — the empirical proof that no single method would have sufficed:</w:t>
      </w:r>
    </w:p>
    <w:p>
      <w:pPr>
        <w:pStyle w:val="ListBullet"/>
        <w:spacing w:after="60"/>
      </w:pPr>
      <w:r>
        <w:rPr>
          <w:b/>
          <w:sz w:val="21"/>
        </w:rPr>
        <w:t xml:space="preserve">Salt Typhoon telecom (rank #1): </w:t>
      </w:r>
      <w:r>
        <w:rPr>
          <w:sz w:val="21"/>
        </w:rPr>
        <w:t>the strongest overall anomaly, ranked #1 of 250 (score 51.3). The attack touches sign-in, network, and domain-lookup behavior simultaneously — 18 measurements elevated at once.</w:t>
      </w:r>
    </w:p>
    <w:p>
      <w:pPr>
        <w:pStyle w:val="ListBullet"/>
        <w:spacing w:after="60"/>
      </w:pPr>
      <w:r>
        <w:rPr>
          <w:b/>
          <w:sz w:val="21"/>
        </w:rPr>
        <w:t xml:space="preserve">Insider threat (rank #2): </w:t>
      </w:r>
      <w:r>
        <w:rPr>
          <w:sz w:val="21"/>
        </w:rPr>
        <w:t>ranked #2 (score 46.2), caught by sustained deviation and breadth: a 14-month drift from public toward restricted files while total volume stayed flat — the textbook "same credentials, different data" signature.</w:t>
      </w:r>
    </w:p>
    <w:p>
      <w:pPr>
        <w:pStyle w:val="ListBullet"/>
        <w:spacing w:after="60"/>
      </w:pPr>
      <w:r>
        <w:rPr>
          <w:b/>
          <w:sz w:val="21"/>
        </w:rPr>
        <w:t xml:space="preserve">Slow APT (rank #7): </w:t>
      </w:r>
      <w:r>
        <w:rPr>
          <w:sz w:val="21"/>
        </w:rPr>
        <w:t>ranked #7 (score 19.4) — the case that justifies the architecture, detailed below.</w:t>
      </w:r>
    </w:p>
    <w:p>
      <w:pPr>
        <w:pStyle w:val="ListBullet"/>
        <w:spacing w:after="60"/>
      </w:pPr>
      <w:r>
        <w:rPr>
          <w:b/>
          <w:sz w:val="21"/>
        </w:rPr>
        <w:t xml:space="preserve">Volt Typhoon living-off-the-land (rank #24): </w:t>
      </w:r>
      <w:r>
        <w:rPr>
          <w:sz w:val="21"/>
        </w:rPr>
        <w:t>ranked #24 of 250 (score 13.7) — a deliberately quiet campaign using only legitimate admin tools, still inside the top 10% and above the detection threshold via breadth plus signal strength.</w:t>
      </w:r>
    </w:p>
    <w:p>
      <w:pPr>
        <w:spacing w:before="120" w:after="0"/>
        <w:jc w:val="center"/>
      </w:pPr>
      <w:r>
        <w:drawing>
          <wp:inline xmlns:a="http://schemas.openxmlformats.org/drawingml/2006/main" xmlns:pic="http://schemas.openxmlformats.org/drawingml/2006/picture">
            <wp:extent cx="4572000" cy="3592286"/>
            <wp:docPr id="4" name="Picture 4"/>
            <wp:cNvGraphicFramePr>
              <a:graphicFrameLocks noChangeAspect="1"/>
            </wp:cNvGraphicFramePr>
            <a:graphic>
              <a:graphicData uri="http://schemas.openxmlformats.org/drawingml/2006/picture">
                <pic:pic>
                  <pic:nvPicPr>
                    <pic:cNvPr id="0" name="fig5_radar.png"/>
                    <pic:cNvPicPr/>
                  </pic:nvPicPr>
                  <pic:blipFill>
                    <a:blip r:embed="rId12"/>
                    <a:stretch>
                      <a:fillRect/>
                    </a:stretch>
                  </pic:blipFill>
                  <pic:spPr>
                    <a:xfrm>
                      <a:off x="0" y="0"/>
                      <a:ext cx="4572000" cy="3592286"/>
                    </a:xfrm>
                    <a:prstGeom prst="rect"/>
                  </pic:spPr>
                </pic:pic>
              </a:graphicData>
            </a:graphic>
          </wp:inline>
        </w:drawing>
      </w:r>
    </w:p>
    <w:p>
      <w:pPr>
        <w:spacing w:after="160"/>
        <w:jc w:val="center"/>
      </w:pPr>
      <w:r>
        <w:rPr>
          <w:i/>
          <w:color w:val="555F6B"/>
          <w:sz w:val="17"/>
        </w:rPr>
        <w:t>Figure 4 — The drift projected onto the five scoring dimensions, as percentiles across the 250-user population (measured, synthetic data). Normal users cluster near the center (grey dashed = median, dotted = 75th percentile). Each attacker breaks out on a different combination — the insider on signal strength and breadth, the slow APT on novelty persistence, Salt Typhoon on nearly every dimension at once. No normal user reaches these extremes on several dimensions simultaneously.</w:t>
      </w:r>
    </w:p>
    <w:p>
      <w:pPr>
        <w:spacing w:before="160" w:after="60"/>
      </w:pPr>
      <w:r>
        <w:rPr>
          <w:b/>
          <w:color w:val="C25A12"/>
          <w:sz w:val="24"/>
        </w:rPr>
        <w:t>5.3  Case study: the attack that was "undetectable"</w:t>
      </w:r>
    </w:p>
    <w:p>
      <w:pPr>
        <w:spacing w:after="120"/>
      </w:pPr>
      <w:r>
        <w:rPr>
          <w:b w:val="0"/>
          <w:i w:val="0"/>
          <w:sz w:val="21"/>
        </w:rP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pPr>
        <w:spacing w:after="120"/>
      </w:pPr>
      <w:r>
        <w:rPr>
          <w:b w:val="0"/>
          <w:i w:val="0"/>
          <w:sz w:val="21"/>
        </w:rPr>
        <w:t>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13.0 points — the largest phase contribution of any attacker — lifting USR-234 from rank ~#105 to rank #7, firmly inside the detected set.</w:t>
      </w:r>
    </w:p>
    <w:p>
      <w:pPr>
        <w:spacing w:before="120" w:after="0"/>
        <w:jc w:val="center"/>
      </w:pPr>
      <w:r>
        <w:drawing>
          <wp:inline xmlns:a="http://schemas.openxmlformats.org/drawingml/2006/main" xmlns:pic="http://schemas.openxmlformats.org/drawingml/2006/picture">
            <wp:extent cx="5852160" cy="2758875"/>
            <wp:docPr id="5" name="Picture 5"/>
            <wp:cNvGraphicFramePr>
              <a:graphicFrameLocks noChangeAspect="1"/>
            </wp:cNvGraphicFramePr>
            <a:graphic>
              <a:graphicData uri="http://schemas.openxmlformats.org/drawingml/2006/picture">
                <pic:pic>
                  <pic:nvPicPr>
                    <pic:cNvPr id="0" name="fig3_composite.png"/>
                    <pic:cNvPicPr/>
                  </pic:nvPicPr>
                  <pic:blipFill>
                    <a:blip r:embed="rId13"/>
                    <a:stretch>
                      <a:fillRect/>
                    </a:stretch>
                  </pic:blipFill>
                  <pic:spPr>
                    <a:xfrm>
                      <a:off x="0" y="0"/>
                      <a:ext cx="5852160" cy="2758875"/>
                    </a:xfrm>
                    <a:prstGeom prst="rect"/>
                  </pic:spPr>
                </pic:pic>
              </a:graphicData>
            </a:graphic>
          </wp:inline>
        </w:drawing>
      </w:r>
    </w:p>
    <w:p>
      <w:pPr>
        <w:spacing w:after="160"/>
        <w:jc w:val="center"/>
      </w:pPr>
      <w:r>
        <w:rPr>
          <w:i/>
          <w:color w:val="555F6B"/>
          <w:sz w:val="17"/>
        </w:rPr>
        <w:t>Figure 5 — Composite scores of the four attack users against the detection threshold (measured, synthetic data). The slow APT (USR-234) splits into its parts: without the novelty signal it scores 6.4 and is missed; the recurring never-before-seen contact adds 13.0 points and detects it.</w:t>
      </w:r>
    </w:p>
    <w:p>
      <w:pPr>
        <w:spacing w:before="160" w:after="60"/>
      </w:pPr>
      <w:r>
        <w:rPr>
          <w:b/>
          <w:color w:val="C25A12"/>
          <w:sz w:val="24"/>
        </w:rPr>
        <w:t>5.4  False positives, treated as a budget</w:t>
      </w:r>
    </w:p>
    <w:p>
      <w:pPr>
        <w:spacing w:after="120"/>
      </w:pPr>
      <w:r>
        <w:rPr>
          <w:b w:val="0"/>
          <w:i w:val="0"/>
          <w:sz w:val="21"/>
        </w:rPr>
        <w:t>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ranks #24 and #1.</w:t>
      </w:r>
    </w:p>
    <w:p>
      <w:pPr>
        <w:spacing w:before="160" w:after="60"/>
      </w:pPr>
      <w:r>
        <w:rPr>
          <w:b/>
          <w:color w:val="C25A12"/>
          <w:sz w:val="24"/>
        </w:rPr>
        <w:t>5.5  Were the attackers actually hard to find?</w:t>
      </w:r>
    </w:p>
    <w:p>
      <w:pPr>
        <w:spacing w:after="120"/>
      </w:pPr>
      <w:r>
        <w:rPr>
          <w:b w:val="0"/>
          <w:sz w:val="21"/>
        </w:rPr>
        <w:t>A detection result is only as strong as the difficulty of the problem it solved. Before trusting the scoreboard above, the fair question is whether the simulated attackers were genuinely evasive — or merely obvious. Three measured checks confirm they were hard to find. The hardest case, the slow APT (USR-234), is used throughout.</w:t>
      </w:r>
    </w:p>
    <w:p>
      <w:pPr>
        <w:spacing w:after="120"/>
      </w:pPr>
      <w:r>
        <w:rPr>
          <w:b w:val="0"/>
          <w:sz w:val="21"/>
        </w:rPr>
        <w:t>Statistical twins. Averaged across all weeks, the slow APT is indistinguishable from an ordinary user — and on two measures it is actually quieter:</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Weekly measure</w:t>
            </w:r>
          </w:p>
        </w:tc>
        <w:tc>
          <w:tcPr>
            <w:tcW w:type="dxa" w:w="2448"/>
            <w:shd w:fill="0B1F3A"/>
          </w:tcPr>
          <w:p>
            <w:pPr>
              <w:jc w:val="center"/>
            </w:pPr>
            <w:r>
              <w:rPr>
                <w:b/>
                <w:color w:val="FFFFFF"/>
                <w:sz w:val="18"/>
              </w:rPr>
              <w:t>Slow APT</w:t>
            </w:r>
          </w:p>
        </w:tc>
        <w:tc>
          <w:tcPr>
            <w:tcW w:type="dxa" w:w="2448"/>
            <w:shd w:fill="0B1F3A"/>
          </w:tcPr>
          <w:p>
            <w:pPr>
              <w:jc w:val="center"/>
            </w:pPr>
            <w:r>
              <w:rPr>
                <w:b/>
                <w:color w:val="FFFFFF"/>
                <w:sz w:val="18"/>
              </w:rPr>
              <w:t>Normal user</w:t>
            </w:r>
          </w:p>
        </w:tc>
        <w:tc>
          <w:tcPr>
            <w:tcW w:type="dxa" w:w="2448"/>
            <w:shd w:fill="0B1F3A"/>
          </w:tcPr>
          <w:p>
            <w:pPr>
              <w:jc w:val="center"/>
            </w:pPr>
            <w:r>
              <w:rPr>
                <w:b/>
                <w:color w:val="FFFFFF"/>
                <w:sz w:val="18"/>
              </w:rPr>
              <w:t>Verdict</w:t>
            </w:r>
          </w:p>
        </w:tc>
      </w:tr>
      <w:tr>
        <w:tc>
          <w:tcPr>
            <w:tcW w:type="dxa" w:w="2448"/>
          </w:tcPr>
          <w:p>
            <w:r>
              <w:rPr>
                <w:sz w:val="18"/>
              </w:rPr>
              <w:t>File accesses</w:t>
            </w:r>
          </w:p>
        </w:tc>
        <w:tc>
          <w:tcPr>
            <w:tcW w:type="dxa" w:w="2448"/>
          </w:tcPr>
          <w:p>
            <w:r>
              <w:rPr>
                <w:sz w:val="18"/>
              </w:rPr>
              <w:t>70.9</w:t>
            </w:r>
          </w:p>
        </w:tc>
        <w:tc>
          <w:tcPr>
            <w:tcW w:type="dxa" w:w="2448"/>
          </w:tcPr>
          <w:p>
            <w:r>
              <w:rPr>
                <w:sz w:val="18"/>
              </w:rPr>
              <w:t>68.7</w:t>
            </w:r>
          </w:p>
        </w:tc>
        <w:tc>
          <w:tcPr>
            <w:tcW w:type="dxa" w:w="2448"/>
          </w:tcPr>
          <w:p>
            <w:r>
              <w:rPr>
                <w:sz w:val="18"/>
              </w:rPr>
              <w:t>~ identical</w:t>
            </w:r>
          </w:p>
        </w:tc>
      </w:tr>
      <w:tr>
        <w:tc>
          <w:tcPr>
            <w:tcW w:type="dxa" w:w="2448"/>
            <w:shd w:fill="EEF2F7"/>
          </w:tcPr>
          <w:p>
            <w:r>
              <w:rPr>
                <w:sz w:val="18"/>
              </w:rPr>
              <w:t>Restricted-file ratio</w:t>
            </w:r>
          </w:p>
        </w:tc>
        <w:tc>
          <w:tcPr>
            <w:tcW w:type="dxa" w:w="2448"/>
            <w:shd w:fill="EEF2F7"/>
          </w:tcPr>
          <w:p>
            <w:r>
              <w:rPr>
                <w:sz w:val="18"/>
              </w:rPr>
              <w:t>0.046</w:t>
            </w:r>
          </w:p>
        </w:tc>
        <w:tc>
          <w:tcPr>
            <w:tcW w:type="dxa" w:w="2448"/>
            <w:shd w:fill="EEF2F7"/>
          </w:tcPr>
          <w:p>
            <w:r>
              <w:rPr>
                <w:sz w:val="18"/>
              </w:rPr>
              <w:t>0.060</w:t>
            </w:r>
          </w:p>
        </w:tc>
        <w:tc>
          <w:tcPr>
            <w:tcW w:type="dxa" w:w="2448"/>
            <w:shd w:fill="EEF2F7"/>
          </w:tcPr>
          <w:p>
            <w:r>
              <w:rPr>
                <w:sz w:val="18"/>
              </w:rPr>
              <w:t>attacker LOWER</w:t>
            </w:r>
          </w:p>
        </w:tc>
      </w:tr>
      <w:tr>
        <w:tc>
          <w:tcPr>
            <w:tcW w:type="dxa" w:w="2448"/>
          </w:tcPr>
          <w:p>
            <w:r>
              <w:rPr>
                <w:sz w:val="18"/>
              </w:rPr>
              <w:t>Network bytes sent</w:t>
            </w:r>
          </w:p>
        </w:tc>
        <w:tc>
          <w:tcPr>
            <w:tcW w:type="dxa" w:w="2448"/>
          </w:tcPr>
          <w:p>
            <w:r>
              <w:rPr>
                <w:sz w:val="18"/>
              </w:rPr>
              <w:t>782M</w:t>
            </w:r>
          </w:p>
        </w:tc>
        <w:tc>
          <w:tcPr>
            <w:tcW w:type="dxa" w:w="2448"/>
          </w:tcPr>
          <w:p>
            <w:r>
              <w:rPr>
                <w:sz w:val="18"/>
              </w:rPr>
              <w:t>711M</w:t>
            </w:r>
          </w:p>
        </w:tc>
        <w:tc>
          <w:tcPr>
            <w:tcW w:type="dxa" w:w="2448"/>
          </w:tcPr>
          <w:p>
            <w:r>
              <w:rPr>
                <w:sz w:val="18"/>
              </w:rPr>
              <w:t>within variance</w:t>
            </w:r>
          </w:p>
        </w:tc>
      </w:tr>
      <w:tr>
        <w:tc>
          <w:tcPr>
            <w:tcW w:type="dxa" w:w="2448"/>
            <w:shd w:fill="EEF2F7"/>
          </w:tcPr>
          <w:p>
            <w:r>
              <w:rPr>
                <w:sz w:val="18"/>
              </w:rPr>
              <w:t>Failed-DNS ratio</w:t>
            </w:r>
          </w:p>
        </w:tc>
        <w:tc>
          <w:tcPr>
            <w:tcW w:type="dxa" w:w="2448"/>
            <w:shd w:fill="EEF2F7"/>
          </w:tcPr>
          <w:p>
            <w:r>
              <w:rPr>
                <w:sz w:val="18"/>
              </w:rPr>
              <w:t>0.039</w:t>
            </w:r>
          </w:p>
        </w:tc>
        <w:tc>
          <w:tcPr>
            <w:tcW w:type="dxa" w:w="2448"/>
            <w:shd w:fill="EEF2F7"/>
          </w:tcPr>
          <w:p>
            <w:r>
              <w:rPr>
                <w:sz w:val="18"/>
              </w:rPr>
              <w:t>0.044</w:t>
            </w:r>
          </w:p>
        </w:tc>
        <w:tc>
          <w:tcPr>
            <w:tcW w:type="dxa" w:w="2448"/>
            <w:shd w:fill="EEF2F7"/>
          </w:tcPr>
          <w:p>
            <w:r>
              <w:rPr>
                <w:sz w:val="18"/>
              </w:rPr>
              <w:t>attacker LOWER</w:t>
            </w:r>
          </w:p>
        </w:tc>
      </w:tr>
    </w:tbl>
    <w:p>
      <w:pPr>
        <w:spacing w:after="120"/>
      </w:pPr>
      <w:r>
        <w:rPr>
          <w:b w:val="0"/>
          <w:sz w:val="21"/>
        </w:rPr>
        <w:t>A whisper in a stadium. In the raw logs, the attacker's command-and-control beacon moves 120-487 bytes across a whole day - roughly 380,000 times smaller than the single largest ordinary network flow on the same day (184 MB). No volume threshold can isolate the whisper without drowning in normal traffic.</w:t>
      </w:r>
    </w:p>
    <w:p>
      <w:pPr>
        <w:spacing w:after="120"/>
      </w:pPr>
      <w:r>
        <w:rPr>
          <w:b w:val="0"/>
          <w:sz w:val="21"/>
        </w:rPr>
        <w:t>Ordinary among peers. Measured against its 62 role peers (the developer cohort), the attacker sits inside the normal middle-50% range on file access, restricted-file ratio, and network volume. By volume, it is an unremarkable developer. Only the direction of its behavior over time - and the recurrence of one novel address in 60 of 60 weeks - sets it apart.</w:t>
      </w:r>
    </w:p>
    <w:p>
      <w:pPr>
        <w:spacing w:before="160" w:after="60"/>
      </w:pPr>
      <w:r>
        <w:rPr>
          <w:b/>
          <w:color w:val="C25A12"/>
          <w:sz w:val="24"/>
        </w:rPr>
        <w:t>5.6  How invisible weekly changes add up</w:t>
      </w:r>
    </w:p>
    <w:p>
      <w:pPr>
        <w:spacing w:after="120"/>
      </w:pPr>
      <w:r>
        <w:rPr>
          <w:b w:val="0"/>
          <w:sz w:val="21"/>
        </w:rPr>
        <w:t>If the attacker never spikes, how is it caught? By accumulation. Each week the system measures how far behavior moved, subtracts a small allowance for normal week-to-week wobble (measured at 0.0138 on this data), and adds the remainder to a running total that resets to zero whenever a week looks normal. A sustained attacker drifts a little further in the same direction every week, so the total climbs and never resets; a normal user's keeps resetting. This running total is called CUSUM - the mathematical answer to 'slow and low.'</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pPr>
              <w:jc w:val="center"/>
            </w:pPr>
            <w:r>
              <w:rPr>
                <w:b/>
                <w:color w:val="FFFFFF"/>
                <w:sz w:val="18"/>
              </w:rPr>
              <w:t>Entity</w:t>
            </w:r>
          </w:p>
        </w:tc>
        <w:tc>
          <w:tcPr>
            <w:tcW w:type="dxa" w:w="2448"/>
            <w:shd w:fill="0B1F3A"/>
          </w:tcPr>
          <w:p>
            <w:pPr>
              <w:jc w:val="center"/>
            </w:pPr>
            <w:r>
              <w:rPr>
                <w:b/>
                <w:color w:val="FFFFFF"/>
                <w:sz w:val="18"/>
              </w:rPr>
              <w:t>Type</w:t>
            </w:r>
          </w:p>
        </w:tc>
        <w:tc>
          <w:tcPr>
            <w:tcW w:type="dxa" w:w="2448"/>
            <w:shd w:fill="0B1F3A"/>
          </w:tcPr>
          <w:p>
            <w:pPr>
              <w:jc w:val="center"/>
            </w:pPr>
            <w:r>
              <w:rPr>
                <w:b/>
                <w:color w:val="FFFFFF"/>
                <w:sz w:val="18"/>
              </w:rPr>
              <w:t>Cumulative drift</w:t>
            </w:r>
          </w:p>
        </w:tc>
        <w:tc>
          <w:tcPr>
            <w:tcW w:type="dxa" w:w="2448"/>
            <w:shd w:fill="0B1F3A"/>
          </w:tcPr>
          <w:p>
            <w:pPr>
              <w:jc w:val="center"/>
            </w:pPr>
            <w:r>
              <w:rPr>
                <w:b/>
                <w:color w:val="FFFFFF"/>
                <w:sz w:val="18"/>
              </w:rPr>
              <w:t>vs. normal user</w:t>
            </w:r>
          </w:p>
        </w:tc>
      </w:tr>
      <w:tr>
        <w:tc>
          <w:tcPr>
            <w:tcW w:type="dxa" w:w="2448"/>
          </w:tcPr>
          <w:p>
            <w:r>
              <w:rPr>
                <w:sz w:val="18"/>
              </w:rPr>
              <w:t>USR-156</w:t>
            </w:r>
          </w:p>
        </w:tc>
        <w:tc>
          <w:tcPr>
            <w:tcW w:type="dxa" w:w="2448"/>
          </w:tcPr>
          <w:p>
            <w:r>
              <w:rPr>
                <w:sz w:val="18"/>
              </w:rPr>
              <w:t>Insider threat</w:t>
            </w:r>
          </w:p>
        </w:tc>
        <w:tc>
          <w:tcPr>
            <w:tcW w:type="dxa" w:w="2448"/>
          </w:tcPr>
          <w:p>
            <w:r>
              <w:rPr>
                <w:sz w:val="18"/>
              </w:rPr>
              <w:t>0.779</w:t>
            </w:r>
          </w:p>
        </w:tc>
        <w:tc>
          <w:tcPr>
            <w:tcW w:type="dxa" w:w="2448"/>
          </w:tcPr>
          <w:p>
            <w:r>
              <w:rPr>
                <w:sz w:val="18"/>
              </w:rPr>
              <w:t>29x</w:t>
            </w:r>
          </w:p>
        </w:tc>
      </w:tr>
      <w:tr>
        <w:tc>
          <w:tcPr>
            <w:tcW w:type="dxa" w:w="2448"/>
            <w:shd w:fill="EEF2F7"/>
          </w:tcPr>
          <w:p>
            <w:r>
              <w:rPr>
                <w:sz w:val="18"/>
              </w:rPr>
              <w:t>USR-042</w:t>
            </w:r>
          </w:p>
        </w:tc>
        <w:tc>
          <w:tcPr>
            <w:tcW w:type="dxa" w:w="2448"/>
            <w:shd w:fill="EEF2F7"/>
          </w:tcPr>
          <w:p>
            <w:r>
              <w:rPr>
                <w:sz w:val="18"/>
              </w:rPr>
              <w:t>Volt Typhoon (LOTL)</w:t>
            </w:r>
          </w:p>
        </w:tc>
        <w:tc>
          <w:tcPr>
            <w:tcW w:type="dxa" w:w="2448"/>
            <w:shd w:fill="EEF2F7"/>
          </w:tcPr>
          <w:p>
            <w:r>
              <w:rPr>
                <w:sz w:val="18"/>
              </w:rPr>
              <w:t>0.474</w:t>
            </w:r>
          </w:p>
        </w:tc>
        <w:tc>
          <w:tcPr>
            <w:tcW w:type="dxa" w:w="2448"/>
            <w:shd w:fill="EEF2F7"/>
          </w:tcPr>
          <w:p>
            <w:r>
              <w:rPr>
                <w:sz w:val="18"/>
              </w:rPr>
              <w:t>18x</w:t>
            </w:r>
          </w:p>
        </w:tc>
      </w:tr>
      <w:tr>
        <w:tc>
          <w:tcPr>
            <w:tcW w:type="dxa" w:w="2448"/>
          </w:tcPr>
          <w:p>
            <w:r>
              <w:rPr>
                <w:sz w:val="18"/>
              </w:rPr>
              <w:t>USR-234</w:t>
            </w:r>
          </w:p>
        </w:tc>
        <w:tc>
          <w:tcPr>
            <w:tcW w:type="dxa" w:w="2448"/>
          </w:tcPr>
          <w:p>
            <w:r>
              <w:rPr>
                <w:sz w:val="18"/>
              </w:rPr>
              <w:t>Slow APT (C2 beacon)</w:t>
            </w:r>
          </w:p>
        </w:tc>
        <w:tc>
          <w:tcPr>
            <w:tcW w:type="dxa" w:w="2448"/>
          </w:tcPr>
          <w:p>
            <w:r>
              <w:rPr>
                <w:sz w:val="18"/>
              </w:rPr>
              <w:t>0.162</w:t>
            </w:r>
          </w:p>
        </w:tc>
        <w:tc>
          <w:tcPr>
            <w:tcW w:type="dxa" w:w="2448"/>
          </w:tcPr>
          <w:p>
            <w:r>
              <w:rPr>
                <w:sz w:val="18"/>
              </w:rPr>
              <w:t>6x</w:t>
            </w:r>
          </w:p>
        </w:tc>
      </w:tr>
      <w:tr>
        <w:tc>
          <w:tcPr>
            <w:tcW w:type="dxa" w:w="2448"/>
            <w:shd w:fill="EEF2F7"/>
          </w:tcPr>
          <w:p>
            <w:r>
              <w:rPr>
                <w:sz w:val="18"/>
              </w:rPr>
              <w:t>USR-118</w:t>
            </w:r>
          </w:p>
        </w:tc>
        <w:tc>
          <w:tcPr>
            <w:tcW w:type="dxa" w:w="2448"/>
            <w:shd w:fill="EEF2F7"/>
          </w:tcPr>
          <w:p>
            <w:r>
              <w:rPr>
                <w:sz w:val="18"/>
              </w:rPr>
              <w:t>Salt Typhoon (telecom)</w:t>
            </w:r>
          </w:p>
        </w:tc>
        <w:tc>
          <w:tcPr>
            <w:tcW w:type="dxa" w:w="2448"/>
            <w:shd w:fill="EEF2F7"/>
          </w:tcPr>
          <w:p>
            <w:r>
              <w:rPr>
                <w:sz w:val="18"/>
              </w:rPr>
              <w:t>0.131</w:t>
            </w:r>
          </w:p>
        </w:tc>
        <w:tc>
          <w:tcPr>
            <w:tcW w:type="dxa" w:w="2448"/>
            <w:shd w:fill="EEF2F7"/>
          </w:tcPr>
          <w:p>
            <w:r>
              <w:rPr>
                <w:sz w:val="18"/>
              </w:rPr>
              <w:t>5x</w:t>
            </w:r>
          </w:p>
        </w:tc>
      </w:tr>
      <w:tr>
        <w:tc>
          <w:tcPr>
            <w:tcW w:type="dxa" w:w="2448"/>
          </w:tcPr>
          <w:p>
            <w:r>
              <w:rPr>
                <w:sz w:val="18"/>
              </w:rPr>
              <w:t>USR-001</w:t>
            </w:r>
          </w:p>
        </w:tc>
        <w:tc>
          <w:tcPr>
            <w:tcW w:type="dxa" w:w="2448"/>
          </w:tcPr>
          <w:p>
            <w:r>
              <w:rPr>
                <w:sz w:val="18"/>
              </w:rPr>
              <w:t>Normal user</w:t>
            </w:r>
          </w:p>
        </w:tc>
        <w:tc>
          <w:tcPr>
            <w:tcW w:type="dxa" w:w="2448"/>
          </w:tcPr>
          <w:p>
            <w:r>
              <w:rPr>
                <w:sz w:val="18"/>
              </w:rPr>
              <w:t>0.026</w:t>
            </w:r>
          </w:p>
        </w:tc>
        <w:tc>
          <w:tcPr>
            <w:tcW w:type="dxa" w:w="2448"/>
          </w:tcPr>
          <w:p>
            <w:r>
              <w:rPr>
                <w:sz w:val="18"/>
              </w:rPr>
              <w:t>baseline</w:t>
            </w:r>
          </w:p>
        </w:tc>
      </w:tr>
    </w:tbl>
    <w:p>
      <w:pPr>
        <w:spacing w:after="120"/>
      </w:pPr>
      <w:r>
        <w:rPr>
          <w:b w:val="0"/>
          <w:sz w:val="21"/>
        </w:rPr>
        <w:t>Every attacker accumulates between 5 and 29 times the normal user's drift - even though, in any single week, none of them crossed an alarm threshold. Accumulation converts many invisible weekly changes into one unmistakable signal. (Every figure in 5.5-5.6 is reproducible live in the platform's interactive 'Proof of Realism' view, which lets a reviewer pick any two users and watch volume statistics overlap while cumulative-drift curves diverge.)</w:t>
      </w:r>
    </w:p>
    <w:p>
      <w:pPr>
        <w:spacing w:before="280" w:after="80"/>
      </w:pPr>
      <w:r>
        <w:rPr>
          <w:b/>
          <w:color w:val="0B1F3A"/>
          <w:sz w:val="30"/>
        </w:rPr>
        <w:t>6.  Deployment in Practice</w:t>
      </w:r>
    </w:p>
    <w:p>
      <w:pPr>
        <w:spacing w:after="120"/>
      </w:pPr>
      <w:r>
        <w:rPr>
          <w:b w:val="0"/>
          <w:i w:val="0"/>
          <w:sz w:val="21"/>
        </w:rP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pPr>
        <w:pStyle w:val="ListBullet"/>
        <w:spacing w:after="60"/>
      </w:pPr>
      <w:r>
        <w:rPr>
          <w:b/>
          <w:sz w:val="21"/>
        </w:rPr>
        <w:t xml:space="preserve">Data requirements. </w:t>
      </w:r>
      <w:r>
        <w:rPr>
          <w:sz w:val="21"/>
        </w:rPr>
        <w:t>Five standard log sources most enterprises already collect — sign-ins, file access, endpoint telemetry, network flow, and domain lookups — plus data-sensitivity labels. No new sensors.</w:t>
      </w:r>
    </w:p>
    <w:p>
      <w:pPr>
        <w:pStyle w:val="ListBullet"/>
        <w:spacing w:after="60"/>
      </w:pPr>
      <w:r>
        <w:rPr>
          <w:b/>
          <w:sz w:val="21"/>
        </w:rPr>
        <w:t xml:space="preserve">Timeline. </w:t>
      </w:r>
      <w:r>
        <w:rPr>
          <w:sz w:val="21"/>
        </w:rPr>
        <w:t>A phased rollout: 4–6 weeks of baseline building, 2–4 weeks of detection tuning (target: false positives under 10%), 2–4 weeks of red-team validation, then production.</w:t>
      </w:r>
    </w:p>
    <w:p>
      <w:pPr>
        <w:pStyle w:val="ListBullet"/>
        <w:spacing w:after="60"/>
      </w:pPr>
      <w:r>
        <w:rPr>
          <w:b/>
          <w:sz w:val="21"/>
        </w:rPr>
        <w:t xml:space="preserve">Footprint. </w:t>
      </w:r>
      <w:r>
        <w:rPr>
          <w:sz w:val="21"/>
        </w:rPr>
        <w:t>Containerized, standard infrastructure, no specialized hardware; suitable for enterprise data centers, cloud, or disconnected secure environments. Behavioral profiles are computed incrementally, so ongoing cost after the initial baseline is small.</w:t>
      </w:r>
    </w:p>
    <w:p>
      <w:pPr>
        <w:pStyle w:val="ListBullet"/>
        <w:spacing w:after="60"/>
      </w:pPr>
      <w:r>
        <w:rPr>
          <w:b/>
          <w:sz w:val="21"/>
        </w:rPr>
        <w:t xml:space="preserve">Integration. </w:t>
      </w:r>
      <w:r>
        <w:rPr>
          <w:sz w:val="21"/>
        </w:rP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pPr>
        <w:pStyle w:val="ListBullet"/>
        <w:spacing w:after="60"/>
      </w:pPr>
      <w:r>
        <w:rPr>
          <w:b/>
          <w:sz w:val="21"/>
        </w:rPr>
        <w:t xml:space="preserve">Scale. </w:t>
      </w:r>
      <w:r>
        <w:rPr>
          <w:sz w:val="21"/>
        </w:rPr>
        <w:t>Validation used 250 users; larger populations improve, not degrade, the statistics, because peer baselines get richer.</w:t>
      </w:r>
    </w:p>
    <w:p>
      <w:pPr>
        <w:spacing w:before="280" w:after="80"/>
      </w:pPr>
      <w:r>
        <w:rPr>
          <w:b/>
          <w:color w:val="0B1F3A"/>
          <w:sz w:val="30"/>
        </w:rPr>
        <w:t>7.  Why This Is New</w:t>
      </w:r>
    </w:p>
    <w:p>
      <w:pPr>
        <w:spacing w:after="120"/>
      </w:pPr>
      <w:r>
        <w:rPr>
          <w:b w:val="0"/>
          <w:i w:val="0"/>
          <w:sz w:val="21"/>
        </w:rPr>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pPr>
        <w:spacing w:after="120"/>
      </w:pPr>
      <w:r>
        <w:rPr>
          <w:b/>
          <w:i w:val="0"/>
          <w:sz w:val="21"/>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8.  Limitations — Stated Plainly</w:t>
      </w:r>
    </w:p>
    <w:p>
      <w:pPr>
        <w:pStyle w:val="ListBullet"/>
        <w:spacing w:after="60"/>
      </w:pPr>
      <w:r>
        <w:rPr>
          <w:sz w:val="21"/>
        </w:rPr>
        <w:t>All results are from synthetic telemetry. The attack campaigns are carefully calibrated to public CISA (Cybersecurity and Infrastructure Security Agency) advisories, but real enterprise behavior is messier; every figure must be re-measured on real data.</w:t>
      </w:r>
    </w:p>
    <w:p>
      <w:pPr>
        <w:pStyle w:val="ListBullet"/>
        <w:spacing w:after="60"/>
      </w:pPr>
      <w:r>
        <w:rPr>
          <w:sz w:val="21"/>
        </w:rPr>
        <w:t>The detection threshold reported here is the operating point that catches all four attackers; it was chosen with knowledge of the answers. In production the threshold must be set blind and tuned per environment.</w:t>
      </w:r>
    </w:p>
    <w:p>
      <w:pPr>
        <w:pStyle w:val="ListBullet"/>
        <w:spacing w:after="60"/>
      </w:pPr>
      <w:r>
        <w:rPr>
          <w:sz w:val="21"/>
        </w:rPr>
        <w:t>An 8.1% false-positive rate means 20 flagged normal users per 250; acceptable as a ranked triage queue, but it is a real analyst cost — and it is not an auto-blocking threshold.</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signature; environments without classification metadata lose part of that signal.</w:t>
      </w:r>
    </w:p>
    <w:p>
      <w:pPr>
        <w:pStyle w:val="ListBullet"/>
        <w:spacing w:after="60"/>
      </w:pPr>
      <w:r>
        <w:rPr>
          <w:sz w:val="21"/>
        </w:rPr>
        <w:t>Semantic embeddings rely on an embedding model; fully disconnected deployments require a locally hosted replacement, which must be re-validated.</w:t>
      </w:r>
    </w:p>
    <w:p>
      <w:pPr>
        <w:spacing w:before="280" w:after="80"/>
      </w:pPr>
      <w:r>
        <w:rPr>
          <w:b/>
          <w:color w:val="0B1F3A"/>
          <w:sz w:val="30"/>
        </w:rPr>
        <w:t>9.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years and months late.</w:t>
      </w:r>
    </w:p>
    <w:p>
      <w:pPr>
        <w:spacing w:after="120"/>
      </w:pPr>
      <w:r>
        <w:rPr>
          <w:b w:val="0"/>
          <w:i w:val="0"/>
          <w:sz w:val="21"/>
        </w:rP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pPr>
        <w:spacing w:after="120"/>
      </w:pPr>
      <w:r>
        <w:rPr>
          <w:b/>
          <w:i w:val="0"/>
          <w:sz w:val="21"/>
        </w:rPr>
        <w:t>The insider changes WHAT they access, not HOW MUCH. The APT changes WHERE it communicates, not HOW OFTEN. Traditional tools measure magnitude; V-Intelligence UEBA measures direction — and direction is where these attacks live.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same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SIEM</w:t>
            </w:r>
          </w:p>
        </w:tc>
        <w:tc>
          <w:tcPr>
            <w:tcW w:type="dxa" w:w="7200"/>
          </w:tcPr>
          <w:p>
            <w:pPr>
              <w:spacing w:after="40" w:before="40"/>
            </w:pPr>
            <w:r/>
            <w:r>
              <w:rPr>
                <w:rFonts w:ascii="Calibri" w:hAnsi="Calibri"/>
                <w:b w:val="0"/>
                <w:sz w:val="18"/>
              </w:rPr>
              <w:t>Security Information and Event Management — the central log-collection and rule-correlation platform of enterprise security.</w:t>
            </w:r>
          </w:p>
        </w:tc>
      </w:tr>
      <w:tr>
        <w:tc>
          <w:tcPr>
            <w:tcW w:type="dxa" w:w="2736"/>
            <w:shd w:val="clear" w:fill="F4F6F8"/>
          </w:tcPr>
          <w:p>
            <w:pPr>
              <w:spacing w:after="40" w:before="40"/>
            </w:pPr>
            <w:r/>
            <w:r>
              <w:rPr>
                <w:rFonts w:ascii="Calibri" w:hAnsi="Calibri"/>
                <w:b/>
                <w:color w:val="0B1F3A"/>
                <w:sz w:val="18"/>
              </w:rPr>
              <w:t>SOC</w:t>
            </w:r>
          </w:p>
        </w:tc>
        <w:tc>
          <w:tcPr>
            <w:tcW w:type="dxa" w:w="7200"/>
          </w:tcPr>
          <w:p>
            <w:pPr>
              <w:spacing w:after="40" w:before="40"/>
            </w:pPr>
            <w:r/>
            <w:r>
              <w:rPr>
                <w:rFonts w:ascii="Calibri" w:hAnsi="Calibri"/>
                <w:b w:val="0"/>
                <w:sz w:val="18"/>
              </w:rPr>
              <w:t>Security Operations Center — the analyst team that monitors alerts and investigates incidents.</w:t>
            </w:r>
          </w:p>
        </w:tc>
      </w:tr>
      <w:tr>
        <w:tc>
          <w:tcPr>
            <w:tcW w:type="dxa" w:w="2736"/>
            <w:shd w:val="clear" w:fill="F4F6F8"/>
          </w:tcPr>
          <w:p>
            <w:pPr>
              <w:spacing w:after="40" w:before="40"/>
            </w:pPr>
            <w:r/>
            <w:r>
              <w:rPr>
                <w:rFonts w:ascii="Calibri" w:hAnsi="Calibri"/>
                <w:b/>
                <w:color w:val="0B1F3A"/>
                <w:sz w:val="18"/>
              </w:rPr>
              <w:t>SOAR</w:t>
            </w:r>
          </w:p>
        </w:tc>
        <w:tc>
          <w:tcPr>
            <w:tcW w:type="dxa" w:w="7200"/>
          </w:tcPr>
          <w:p>
            <w:pPr>
              <w:spacing w:after="40" w:before="40"/>
            </w:pPr>
            <w:r/>
            <w:r>
              <w:rPr>
                <w:rFonts w:ascii="Calibri" w:hAnsi="Calibri"/>
                <w:b w:val="0"/>
                <w:sz w:val="18"/>
              </w:rPr>
              <w:t>Security Orchestration, Automation and Response — tooling that automates incident-response workflows.</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intrusion that remains hidden for months or years.</w:t>
            </w:r>
          </w:p>
        </w:tc>
      </w:tr>
      <w:tr>
        <w:tc>
          <w:tcPr>
            <w:tcW w:type="dxa" w:w="2736"/>
            <w:shd w:val="clear" w:fill="F4F6F8"/>
          </w:tcPr>
          <w:p>
            <w:pPr>
              <w:spacing w:after="40" w:before="40"/>
            </w:pPr>
            <w:r/>
            <w:r>
              <w:rPr>
                <w:rFonts w:ascii="Calibri" w:hAnsi="Calibri"/>
                <w:b/>
                <w:color w:val="0B1F3A"/>
                <w:sz w:val="18"/>
              </w:rPr>
              <w:t>C2 (command and control)</w:t>
            </w:r>
          </w:p>
        </w:tc>
        <w:tc>
          <w:tcPr>
            <w:tcW w:type="dxa" w:w="7200"/>
          </w:tcPr>
          <w:p>
            <w:pPr>
              <w:spacing w:after="40" w:before="40"/>
            </w:pPr>
            <w:r/>
            <w:r>
              <w:rPr>
                <w:rFonts w:ascii="Calibri" w:hAnsi="Calibri"/>
                <w:b w:val="0"/>
                <w:sz w:val="18"/>
              </w:rPr>
              <w:t>The covert channel through which an implanted attacker tool "calls home" for instructions and ships out data.</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legitimate administration tools already present on target systems; nothing to fingerprint.</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CISA</w:t>
            </w:r>
          </w:p>
        </w:tc>
        <w:tc>
          <w:tcPr>
            <w:tcW w:type="dxa" w:w="7200"/>
          </w:tcPr>
          <w:p>
            <w:pPr>
              <w:spacing w:after="40" w:before="40"/>
            </w:pPr>
            <w:r/>
            <w:r>
              <w:rPr>
                <w:rFonts w:ascii="Calibri" w:hAnsi="Calibri"/>
                <w:b w:val="0"/>
                <w:sz w:val="18"/>
              </w:rPr>
              <w:t>Cybersecurity and Infrastructure Security Agency — the U.S. government agency that publishes authoritative threat advisories.</w:t>
            </w:r>
          </w:p>
        </w:tc>
      </w:tr>
      <w:tr>
        <w:tc>
          <w:tcPr>
            <w:tcW w:type="dxa" w:w="2736"/>
            <w:shd w:val="clear" w:fill="F4F6F8"/>
          </w:tcPr>
          <w:p>
            <w:pPr>
              <w:spacing w:after="40" w:before="40"/>
            </w:pPr>
            <w:r/>
            <w:r>
              <w:rPr>
                <w:rFonts w:ascii="Calibri" w:hAnsi="Calibri"/>
                <w:b/>
                <w:color w:val="0B1F3A"/>
                <w:sz w:val="18"/>
              </w:rPr>
              <w:t>Composite scoring</w:t>
            </w:r>
          </w:p>
        </w:tc>
        <w:tc>
          <w:tcPr>
            <w:tcW w:type="dxa" w:w="7200"/>
          </w:tcPr>
          <w:p>
            <w:pPr>
              <w:spacing w:after="40" w:before="40"/>
            </w:pPr>
            <w:r/>
            <w:r>
              <w:rPr>
                <w:rFonts w:ascii="Calibri" w:hAnsi="Calibri"/>
                <w:b w:val="0"/>
                <w:sz w:val="18"/>
              </w:rPr>
              <w:t>Fusing five independent behavioral questions (signal strength, breadth, persistence, context divergence, novelty) into one ranked risk score per user.</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here 8.1% = 20 of 246 normal users at the chosen threshold.</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 in this study.</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here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