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 what behavioral intelligence is, what it detects that today's tools miss, and what the evidence shows</w:t>
      </w:r>
    </w:p>
    <w:p>
      <w:pPr>
        <w:spacing w:after="40"/>
      </w:pPr>
      <w:r>
        <w:rPr>
          <w:b w:val="0"/>
          <w:i w:val="0"/>
          <w:color w:val="555F6B"/>
          <w:sz w:val="19"/>
        </w:rPr>
        <w:t>22nd Century Technologies, Inc.  ·  V-Intelligence UEBA Program  ·  June 2026  ·  Business Edition</w:t>
      </w:r>
    </w:p>
    <w:p>
      <w:pPr>
        <w:spacing w:after="40"/>
        <w:jc w:val="center"/>
      </w:pPr>
      <w:r>
        <w:rPr>
          <w:b/>
          <w:color w:val="0B1F3A"/>
          <w:sz w:val="24"/>
        </w:rPr>
        <w:t>Prepared for: Defense Information Systems Agency - PEO for Cyber</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pPr>
        <w:spacing w:after="120"/>
      </w:pPr>
      <w:r>
        <w:rPr>
          <w:b w:val="0"/>
          <w:i w:val="0"/>
          <w:sz w:val="21"/>
        </w:rP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What the evidence shows, stated honestly: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pPr>
        <w:pStyle w:val="ListBullet"/>
        <w:spacing w:after="60"/>
      </w:pPr>
      <w:r>
        <w:rPr>
          <w:b/>
          <w:sz w:val="21"/>
        </w:rPr>
        <w:t xml:space="preserve">4 of 4 detected — with direction. </w:t>
      </w:r>
      <w:r>
        <w:rPr>
          <w:sz w:val="21"/>
        </w:rPr>
        <w:t>V-Intelligence's multi-phase composite scoring detects all four attack campaigns at an 8.1% false-positive rate (20 of 246 normal users flagged), and tells the analyst which behavioral dimension drifted and toward what known threat pattern.</w:t>
      </w:r>
    </w:p>
    <w:p>
      <w:pPr>
        <w:pStyle w:val="ListBullet"/>
        <w:spacing w:after="60"/>
      </w:pPr>
      <w:r>
        <w:rPr>
          <w:b/>
          <w:sz w:val="21"/>
        </w:rPr>
        <w:t xml:space="preserve">The "undetectable" attack, detected. </w:t>
      </w:r>
      <w:r>
        <w:rPr>
          <w:sz w:val="21"/>
        </w:rP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pPr>
        <w:spacing w:after="120"/>
      </w:pPr>
      <w:r>
        <w:rPr>
          <w:b/>
          <w:i w:val="0"/>
          <w:sz w:val="21"/>
        </w:rPr>
        <w:t>The key insight in one line: the insider changes WHAT they access, not HOW MUCH. Traditional algorithms measure magnitude.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 the central log-collection platform that applies expert-written rules to spot known attack 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pPr>
        <w:spacing w:after="120"/>
      </w:pPr>
      <w:r>
        <w:rPr>
          <w:b w:val="0"/>
          <w:i w:val="0"/>
          <w:sz w:val="21"/>
        </w:rPr>
        <w:t>Modern adversaries are engineered to make the answer "no." Three threat families dominate:</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pPr>
        <w:pStyle w:val="ListBullet"/>
        <w:spacing w:after="60"/>
      </w:pPr>
      <w:r>
        <w:rPr>
          <w:b/>
          <w:sz w:val="21"/>
        </w:rPr>
        <w:t xml:space="preserve">Living-off-the-land attacks. </w:t>
      </w:r>
      <w:r>
        <w:rPr>
          <w:sz w:val="21"/>
        </w:rPr>
        <w:t>"Living off the land" (LOTL) attacks use only the administration tools already installed on every system — PowerShell, remote desktop, management utilities. There is no malware to fingerprint and no rule to violate: every action is, in isolation, an authorized one.</w:t>
      </w:r>
    </w:p>
    <w:p>
      <w:pPr>
        <w:spacing w:after="120"/>
      </w:pPr>
      <w:r>
        <w:rPr>
          <w:b w:val="0"/>
          <w:i w:val="0"/>
          <w:sz w:val="21"/>
        </w:rP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mean similar things sit near each other, even when their raw numbers differ.</w:t>
      </w:r>
    </w:p>
    <w:p>
      <w:pPr>
        <w:spacing w:after="120"/>
      </w:pPr>
      <w:r>
        <w:rPr>
          <w:b w:val="0"/>
          <w:i w:val="0"/>
          <w:sz w:val="21"/>
        </w:rP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pPr>
        <w:spacing w:after="120"/>
      </w:pPr>
      <w:r>
        <w:rPr>
          <w:b w:val="0"/>
          <w:i w:val="0"/>
          <w:sz w:val="21"/>
        </w:rPr>
        <w:t>Direction is then named.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pPr>
        <w:spacing w:after="120"/>
      </w:pPr>
      <w:r>
        <w:rPr>
          <w:b w:val="0"/>
          <w:i w:val="0"/>
          <w:sz w:val="21"/>
        </w:rPr>
        <w:t>Each attack family writes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 each attack evades a different detector. The production answer is composite scoring: five independent behavioral questions are asked of every user, and the answers fuse into a single ranked risk score. A normal user may score high on one question by chance; an attacker scores high on several at once. The questions (exact scoring logic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pPr>
        <w:spacing w:before="280" w:after="80"/>
      </w:pPr>
      <w:r>
        <w:rPr>
          <w:b/>
          <w:color w:val="0B1F3A"/>
          <w:sz w:val="30"/>
        </w:rPr>
        <w:t>5.  What the Evidence Shows (Synthetic Data)</w:t>
      </w:r>
    </w:p>
    <w:p>
      <w:pPr>
        <w:spacing w:before="160" w:after="60"/>
      </w:pPr>
      <w:r>
        <w:rPr>
          <w:b/>
          <w:color w:val="C25A12"/>
          <w:sz w:val="24"/>
        </w:rPr>
        <w:t>5.1  The honest scoreboard first</w:t>
      </w:r>
    </w:p>
    <w:p>
      <w:pPr>
        <w:spacing w:after="120"/>
      </w:pPr>
      <w:r>
        <w:rPr>
          <w:b w:val="0"/>
          <w:i w:val="0"/>
          <w:sz w:val="21"/>
        </w:rPr>
        <w:t>Four industry-standard anomaly-detection algorithms — Z-Score statistics, Isolation Forest, Local Outlier Factor, and One-Class SVM (Support Vector Machine) — were run against the full 250-user population alongside composite scoring. We report the result without spin —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The value claim, stated precisely: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 the empirical proof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 18 measurements elevated at once.</w:t>
      </w:r>
    </w:p>
    <w:p>
      <w:pPr>
        <w:pStyle w:val="ListBullet"/>
        <w:spacing w:after="60"/>
      </w:pPr>
      <w:r>
        <w:rPr>
          <w:b/>
          <w:sz w:val="21"/>
        </w:rPr>
        <w:t xml:space="preserve">Insider threat (rank #2): </w:t>
      </w:r>
      <w:r>
        <w:rPr>
          <w:sz w:val="21"/>
        </w:rPr>
        <w:t>ranked #2 (score 46.2), caught by sustained deviation and breadth: a 14-month drift from public toward restricted files while total volume stayed flat — the textbook "same credentials, different data" signature.</w:t>
      </w:r>
    </w:p>
    <w:p>
      <w:pPr>
        <w:pStyle w:val="ListBullet"/>
        <w:spacing w:after="60"/>
      </w:pPr>
      <w:r>
        <w:rPr>
          <w:b/>
          <w:sz w:val="21"/>
        </w:rPr>
        <w:t xml:space="preserve">Slow APT (rank #7): </w:t>
      </w:r>
      <w:r>
        <w:rPr>
          <w:sz w:val="21"/>
        </w:rPr>
        <w:t>ranked #7 (score 19.4) — the case that justifies the architecture, detailed below.</w:t>
      </w:r>
    </w:p>
    <w:p>
      <w:pPr>
        <w:pStyle w:val="ListBullet"/>
        <w:spacing w:after="60"/>
      </w:pPr>
      <w:r>
        <w:rPr>
          <w:b/>
          <w:sz w:val="21"/>
        </w:rPr>
        <w:t xml:space="preserve">Volt Typhoon living-off-the-land (rank #24): </w:t>
      </w:r>
      <w:r>
        <w:rPr>
          <w:sz w:val="21"/>
        </w:rPr>
        <w:t>ranked #24 of 250 (score 13.7) — a deliberately quiet campaign using only legitimate admin tools, still inside the top 10% and above the detection threshold via breadth plus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pPr>
        <w:spacing w:after="120"/>
      </w:pPr>
      <w:r>
        <w:rPr>
          <w:b w:val="0"/>
          <w:i w:val="0"/>
          <w:sz w:val="21"/>
        </w:rPr>
        <w:t>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13.0 points — the largest phase contribution of any attacker — lifting USR-234 from rank ~#105 to rank #7,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ranks #24 and #1.</w:t>
      </w:r>
    </w:p>
    <w:p>
      <w:pPr>
        <w:spacing w:before="160" w:after="60"/>
      </w:pPr>
      <w:r>
        <w:rPr>
          <w:b/>
          <w:color w:val="C25A12"/>
          <w:sz w:val="24"/>
        </w:rPr>
        <w:t>5.5  Were the attackers actually hard to find?</w:t>
      </w:r>
    </w:p>
    <w:p>
      <w:pPr>
        <w:spacing w:after="120"/>
      </w:pPr>
      <w:r>
        <w:rPr>
          <w:b w:val="0"/>
          <w:sz w:val="21"/>
        </w:rPr>
        <w:t>A detection result is only as strong as the difficulty of the problem it solved. Before trusting the scoreboard above, the fair question is whether the simulated attackers were genuinely evasive — or merely obvious. Three measured checks confirm they were hard to find. The hardest case, the slow APT (USR-234), is used throughout.</w:t>
      </w:r>
    </w:p>
    <w:p>
      <w:pPr>
        <w:spacing w:after="120"/>
      </w:pPr>
      <w:r>
        <w:rPr>
          <w:b w:val="0"/>
          <w:sz w:val="21"/>
        </w:rPr>
        <w:t>Statistical twins. Averaged across all weeks, the slow APT is indistinguishable from an ordinary user — and on two measures it is actually quieter: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Weekly measure</w:t>
            </w:r>
          </w:p>
        </w:tc>
        <w:tc>
          <w:tcPr>
            <w:tcW w:type="dxa" w:w="2448"/>
            <w:shd w:fill="0B1F3A"/>
          </w:tcPr>
          <w:p>
            <w:pPr>
              <w:jc w:val="center"/>
            </w:pPr>
            <w:r>
              <w:rPr>
                <w:b/>
                <w:color w:val="FFFFFF"/>
                <w:sz w:val="18"/>
              </w:rPr>
              <w:t>Slow APT</w:t>
            </w:r>
          </w:p>
        </w:tc>
        <w:tc>
          <w:tcPr>
            <w:tcW w:type="dxa" w:w="2448"/>
            <w:shd w:fill="0B1F3A"/>
          </w:tcPr>
          <w:p>
            <w:pPr>
              <w:jc w:val="center"/>
            </w:pPr>
            <w:r>
              <w:rPr>
                <w:b/>
                <w:color w:val="FFFFFF"/>
                <w:sz w:val="18"/>
              </w:rPr>
              <w:t>Normal user</w:t>
            </w:r>
          </w:p>
        </w:tc>
        <w:tc>
          <w:tcPr>
            <w:tcW w:type="dxa" w:w="2448"/>
            <w:shd w:fill="0B1F3A"/>
          </w:tcPr>
          <w:p>
            <w:pPr>
              <w:jc w:val="center"/>
            </w:pPr>
            <w:r>
              <w:rPr>
                <w:b/>
                <w:color w:val="FFFFFF"/>
                <w:sz w:val="18"/>
              </w:rPr>
              <w:t>Verdict</w:t>
            </w:r>
          </w:p>
        </w:tc>
      </w:tr>
      <w:tr>
        <w:tc>
          <w:tcPr>
            <w:tcW w:type="dxa" w:w="2448"/>
          </w:tcPr>
          <w:p>
            <w:r>
              <w:rPr>
                <w:sz w:val="18"/>
              </w:rPr>
              <w:t>File accesses</w:t>
            </w:r>
          </w:p>
        </w:tc>
        <w:tc>
          <w:tcPr>
            <w:tcW w:type="dxa" w:w="2448"/>
          </w:tcPr>
          <w:p>
            <w:r>
              <w:rPr>
                <w:sz w:val="18"/>
              </w:rPr>
              <w:t>70.9</w:t>
            </w:r>
          </w:p>
        </w:tc>
        <w:tc>
          <w:tcPr>
            <w:tcW w:type="dxa" w:w="2448"/>
          </w:tcPr>
          <w:p>
            <w:r>
              <w:rPr>
                <w:sz w:val="18"/>
              </w:rPr>
              <w:t>68.7</w:t>
            </w:r>
          </w:p>
        </w:tc>
        <w:tc>
          <w:tcPr>
            <w:tcW w:type="dxa" w:w="2448"/>
          </w:tcPr>
          <w:p>
            <w:r>
              <w:rPr>
                <w:sz w:val="18"/>
              </w:rPr>
              <w:t>~ identical</w:t>
            </w:r>
          </w:p>
        </w:tc>
      </w:tr>
      <w:tr>
        <w:tc>
          <w:tcPr>
            <w:tcW w:type="dxa" w:w="2448"/>
            <w:shd w:fill="EEF2F7"/>
          </w:tcPr>
          <w:p>
            <w:r>
              <w:rPr>
                <w:sz w:val="18"/>
              </w:rPr>
              <w:t>Restricted-file ratio</w:t>
            </w:r>
          </w:p>
        </w:tc>
        <w:tc>
          <w:tcPr>
            <w:tcW w:type="dxa" w:w="2448"/>
            <w:shd w:fill="EEF2F7"/>
          </w:tcPr>
          <w:p>
            <w:r>
              <w:rPr>
                <w:sz w:val="18"/>
              </w:rPr>
              <w:t>0.046</w:t>
            </w:r>
          </w:p>
        </w:tc>
        <w:tc>
          <w:tcPr>
            <w:tcW w:type="dxa" w:w="2448"/>
            <w:shd w:fill="EEF2F7"/>
          </w:tcPr>
          <w:p>
            <w:r>
              <w:rPr>
                <w:sz w:val="18"/>
              </w:rPr>
              <w:t>0.060</w:t>
            </w:r>
          </w:p>
        </w:tc>
        <w:tc>
          <w:tcPr>
            <w:tcW w:type="dxa" w:w="2448"/>
            <w:shd w:fill="EEF2F7"/>
          </w:tcPr>
          <w:p>
            <w:r>
              <w:rPr>
                <w:sz w:val="18"/>
              </w:rPr>
              <w:t>attacker LOWER</w:t>
            </w:r>
          </w:p>
        </w:tc>
      </w:tr>
      <w:tr>
        <w:tc>
          <w:tcPr>
            <w:tcW w:type="dxa" w:w="2448"/>
          </w:tcPr>
          <w:p>
            <w:r>
              <w:rPr>
                <w:sz w:val="18"/>
              </w:rPr>
              <w:t>Network bytes sent</w:t>
            </w:r>
          </w:p>
        </w:tc>
        <w:tc>
          <w:tcPr>
            <w:tcW w:type="dxa" w:w="2448"/>
          </w:tcPr>
          <w:p>
            <w:r>
              <w:rPr>
                <w:sz w:val="18"/>
              </w:rPr>
              <w:t>782M</w:t>
            </w:r>
          </w:p>
        </w:tc>
        <w:tc>
          <w:tcPr>
            <w:tcW w:type="dxa" w:w="2448"/>
          </w:tcPr>
          <w:p>
            <w:r>
              <w:rPr>
                <w:sz w:val="18"/>
              </w:rPr>
              <w:t>711M</w:t>
            </w:r>
          </w:p>
        </w:tc>
        <w:tc>
          <w:tcPr>
            <w:tcW w:type="dxa" w:w="2448"/>
          </w:tcPr>
          <w:p>
            <w:r>
              <w:rPr>
                <w:sz w:val="18"/>
              </w:rPr>
              <w:t>within variance</w:t>
            </w:r>
          </w:p>
        </w:tc>
      </w:tr>
      <w:tr>
        <w:tc>
          <w:tcPr>
            <w:tcW w:type="dxa" w:w="2448"/>
            <w:shd w:fill="EEF2F7"/>
          </w:tcPr>
          <w:p>
            <w:r>
              <w:rPr>
                <w:sz w:val="18"/>
              </w:rPr>
              <w:t>Failed-DNS ratio</w:t>
            </w:r>
          </w:p>
        </w:tc>
        <w:tc>
          <w:tcPr>
            <w:tcW w:type="dxa" w:w="2448"/>
            <w:shd w:fill="EEF2F7"/>
          </w:tcPr>
          <w:p>
            <w:r>
              <w:rPr>
                <w:sz w:val="18"/>
              </w:rPr>
              <w:t>0.039</w:t>
            </w:r>
          </w:p>
        </w:tc>
        <w:tc>
          <w:tcPr>
            <w:tcW w:type="dxa" w:w="2448"/>
            <w:shd w:fill="EEF2F7"/>
          </w:tcPr>
          <w:p>
            <w:r>
              <w:rPr>
                <w:sz w:val="18"/>
              </w:rPr>
              <w:t>0.044</w:t>
            </w:r>
          </w:p>
        </w:tc>
        <w:tc>
          <w:tcPr>
            <w:tcW w:type="dxa" w:w="2448"/>
            <w:shd w:fill="EEF2F7"/>
          </w:tcPr>
          <w:p>
            <w:r>
              <w:rPr>
                <w:sz w:val="18"/>
              </w:rPr>
              <w:t>attacker LOWER</w:t>
            </w:r>
          </w:p>
        </w:tc>
      </w:tr>
    </w:tbl>
    <w:p>
      <w:pPr>
        <w:spacing w:after="120"/>
      </w:pPr>
      <w:r>
        <w:rPr>
          <w:b w:val="0"/>
          <w:sz w:val="21"/>
        </w:rPr>
        <w:t>A whisper in a stadium. In the raw logs, the attacker's command-and-control beacon moves 120-487 bytes across a whole day - roughly 380,000 times smaller than the single largest ordinary network flow on the same day (184 MB). No volume threshold can isolate the whisper without drowning in normal traffic.</w:t>
      </w:r>
    </w:p>
    <w:p>
      <w:pPr>
        <w:spacing w:after="120"/>
      </w:pPr>
      <w:r>
        <w:rPr>
          <w:b w:val="0"/>
          <w:sz w:val="21"/>
        </w:rPr>
        <w:t>Ordinary among peers. Measured against its 62 role peers (the developer cohort), the attacker sits inside the normal middle-50% range on file access, restricted-file ratio, and network volume. By volume, it is an unremarkable developer. Only the direction of its behavior over time - and the recurrence of one novel address in 60 of 60 weeks - sets it apart.</w:t>
      </w:r>
    </w:p>
    <w:p>
      <w:pPr>
        <w:spacing w:before="160" w:after="60"/>
      </w:pPr>
      <w:r>
        <w:rPr>
          <w:b/>
          <w:color w:val="C25A12"/>
          <w:sz w:val="24"/>
        </w:rPr>
        <w:t>5.6  How invisible weekly changes add up</w:t>
      </w:r>
    </w:p>
    <w:p>
      <w:pPr>
        <w:spacing w:after="120"/>
      </w:pPr>
      <w:r>
        <w:rPr>
          <w:b w:val="0"/>
          <w:sz w:val="21"/>
        </w:rPr>
        <w:t>If the attacker never spikes, how is it caught? By accumulation. Each week the system measures how far behavior moved, subtracts a small allowance for normal week-to-week wobble (measured at 0.0138 on this data), and adds the remainder to a running total that resets to zero whenever a week looks normal. A sustained attacker drifts a little further in the same direction every week, so the total climbs and never resets; a normal user's keeps resetting. This running total is called CUSUM - the mathematical answer to 'slow and low.'</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Entity</w:t>
            </w:r>
          </w:p>
        </w:tc>
        <w:tc>
          <w:tcPr>
            <w:tcW w:type="dxa" w:w="2448"/>
            <w:shd w:fill="0B1F3A"/>
          </w:tcPr>
          <w:p>
            <w:pPr>
              <w:jc w:val="center"/>
            </w:pPr>
            <w:r>
              <w:rPr>
                <w:b/>
                <w:color w:val="FFFFFF"/>
                <w:sz w:val="18"/>
              </w:rPr>
              <w:t>Type</w:t>
            </w:r>
          </w:p>
        </w:tc>
        <w:tc>
          <w:tcPr>
            <w:tcW w:type="dxa" w:w="2448"/>
            <w:shd w:fill="0B1F3A"/>
          </w:tcPr>
          <w:p>
            <w:pPr>
              <w:jc w:val="center"/>
            </w:pPr>
            <w:r>
              <w:rPr>
                <w:b/>
                <w:color w:val="FFFFFF"/>
                <w:sz w:val="18"/>
              </w:rPr>
              <w:t>Cumulative drift</w:t>
            </w:r>
          </w:p>
        </w:tc>
        <w:tc>
          <w:tcPr>
            <w:tcW w:type="dxa" w:w="2448"/>
            <w:shd w:fill="0B1F3A"/>
          </w:tcPr>
          <w:p>
            <w:pPr>
              <w:jc w:val="center"/>
            </w:pPr>
            <w:r>
              <w:rPr>
                <w:b/>
                <w:color w:val="FFFFFF"/>
                <w:sz w:val="18"/>
              </w:rPr>
              <w:t>vs. normal user</w:t>
            </w:r>
          </w:p>
        </w:tc>
      </w:tr>
      <w:tr>
        <w:tc>
          <w:tcPr>
            <w:tcW w:type="dxa" w:w="2448"/>
          </w:tcPr>
          <w:p>
            <w:r>
              <w:rPr>
                <w:sz w:val="18"/>
              </w:rPr>
              <w:t>USR-156</w:t>
            </w:r>
          </w:p>
        </w:tc>
        <w:tc>
          <w:tcPr>
            <w:tcW w:type="dxa" w:w="2448"/>
          </w:tcPr>
          <w:p>
            <w:r>
              <w:rPr>
                <w:sz w:val="18"/>
              </w:rPr>
              <w:t>Insider threat</w:t>
            </w:r>
          </w:p>
        </w:tc>
        <w:tc>
          <w:tcPr>
            <w:tcW w:type="dxa" w:w="2448"/>
          </w:tcPr>
          <w:p>
            <w:r>
              <w:rPr>
                <w:sz w:val="18"/>
              </w:rPr>
              <w:t>0.779</w:t>
            </w:r>
          </w:p>
        </w:tc>
        <w:tc>
          <w:tcPr>
            <w:tcW w:type="dxa" w:w="2448"/>
          </w:tcPr>
          <w:p>
            <w:r>
              <w:rPr>
                <w:sz w:val="18"/>
              </w:rPr>
              <w:t>29x</w:t>
            </w:r>
          </w:p>
        </w:tc>
      </w:tr>
      <w:tr>
        <w:tc>
          <w:tcPr>
            <w:tcW w:type="dxa" w:w="2448"/>
            <w:shd w:fill="EEF2F7"/>
          </w:tcPr>
          <w:p>
            <w:r>
              <w:rPr>
                <w:sz w:val="18"/>
              </w:rPr>
              <w:t>USR-042</w:t>
            </w:r>
          </w:p>
        </w:tc>
        <w:tc>
          <w:tcPr>
            <w:tcW w:type="dxa" w:w="2448"/>
            <w:shd w:fill="EEF2F7"/>
          </w:tcPr>
          <w:p>
            <w:r>
              <w:rPr>
                <w:sz w:val="18"/>
              </w:rPr>
              <w:t>Volt Typhoon (LOTL)</w:t>
            </w:r>
          </w:p>
        </w:tc>
        <w:tc>
          <w:tcPr>
            <w:tcW w:type="dxa" w:w="2448"/>
            <w:shd w:fill="EEF2F7"/>
          </w:tcPr>
          <w:p>
            <w:r>
              <w:rPr>
                <w:sz w:val="18"/>
              </w:rPr>
              <w:t>0.474</w:t>
            </w:r>
          </w:p>
        </w:tc>
        <w:tc>
          <w:tcPr>
            <w:tcW w:type="dxa" w:w="2448"/>
            <w:shd w:fill="EEF2F7"/>
          </w:tcPr>
          <w:p>
            <w:r>
              <w:rPr>
                <w:sz w:val="18"/>
              </w:rPr>
              <w:t>18x</w:t>
            </w:r>
          </w:p>
        </w:tc>
      </w:tr>
      <w:tr>
        <w:tc>
          <w:tcPr>
            <w:tcW w:type="dxa" w:w="2448"/>
          </w:tcPr>
          <w:p>
            <w:r>
              <w:rPr>
                <w:sz w:val="18"/>
              </w:rPr>
              <w:t>USR-234</w:t>
            </w:r>
          </w:p>
        </w:tc>
        <w:tc>
          <w:tcPr>
            <w:tcW w:type="dxa" w:w="2448"/>
          </w:tcPr>
          <w:p>
            <w:r>
              <w:rPr>
                <w:sz w:val="18"/>
              </w:rPr>
              <w:t>Slow APT (C2 beacon)</w:t>
            </w:r>
          </w:p>
        </w:tc>
        <w:tc>
          <w:tcPr>
            <w:tcW w:type="dxa" w:w="2448"/>
          </w:tcPr>
          <w:p>
            <w:r>
              <w:rPr>
                <w:sz w:val="18"/>
              </w:rPr>
              <w:t>0.162</w:t>
            </w:r>
          </w:p>
        </w:tc>
        <w:tc>
          <w:tcPr>
            <w:tcW w:type="dxa" w:w="2448"/>
          </w:tcPr>
          <w:p>
            <w:r>
              <w:rPr>
                <w:sz w:val="18"/>
              </w:rPr>
              <w:t>6x</w:t>
            </w:r>
          </w:p>
        </w:tc>
      </w:tr>
      <w:tr>
        <w:tc>
          <w:tcPr>
            <w:tcW w:type="dxa" w:w="2448"/>
            <w:shd w:fill="EEF2F7"/>
          </w:tcPr>
          <w:p>
            <w:r>
              <w:rPr>
                <w:sz w:val="18"/>
              </w:rPr>
              <w:t>USR-118</w:t>
            </w:r>
          </w:p>
        </w:tc>
        <w:tc>
          <w:tcPr>
            <w:tcW w:type="dxa" w:w="2448"/>
            <w:shd w:fill="EEF2F7"/>
          </w:tcPr>
          <w:p>
            <w:r>
              <w:rPr>
                <w:sz w:val="18"/>
              </w:rPr>
              <w:t>Salt Typhoon (telecom)</w:t>
            </w:r>
          </w:p>
        </w:tc>
        <w:tc>
          <w:tcPr>
            <w:tcW w:type="dxa" w:w="2448"/>
            <w:shd w:fill="EEF2F7"/>
          </w:tcPr>
          <w:p>
            <w:r>
              <w:rPr>
                <w:sz w:val="18"/>
              </w:rPr>
              <w:t>0.131</w:t>
            </w:r>
          </w:p>
        </w:tc>
        <w:tc>
          <w:tcPr>
            <w:tcW w:type="dxa" w:w="2448"/>
            <w:shd w:fill="EEF2F7"/>
          </w:tcPr>
          <w:p>
            <w:r>
              <w:rPr>
                <w:sz w:val="18"/>
              </w:rPr>
              <w:t>5x</w:t>
            </w:r>
          </w:p>
        </w:tc>
      </w:tr>
      <w:tr>
        <w:tc>
          <w:tcPr>
            <w:tcW w:type="dxa" w:w="2448"/>
          </w:tcPr>
          <w:p>
            <w:r>
              <w:rPr>
                <w:sz w:val="18"/>
              </w:rPr>
              <w:t>USR-001</w:t>
            </w:r>
          </w:p>
        </w:tc>
        <w:tc>
          <w:tcPr>
            <w:tcW w:type="dxa" w:w="2448"/>
          </w:tcPr>
          <w:p>
            <w:r>
              <w:rPr>
                <w:sz w:val="18"/>
              </w:rPr>
              <w:t>Normal user</w:t>
            </w:r>
          </w:p>
        </w:tc>
        <w:tc>
          <w:tcPr>
            <w:tcW w:type="dxa" w:w="2448"/>
          </w:tcPr>
          <w:p>
            <w:r>
              <w:rPr>
                <w:sz w:val="18"/>
              </w:rPr>
              <w:t>0.026</w:t>
            </w:r>
          </w:p>
        </w:tc>
        <w:tc>
          <w:tcPr>
            <w:tcW w:type="dxa" w:w="2448"/>
          </w:tcPr>
          <w:p>
            <w:r>
              <w:rPr>
                <w:sz w:val="18"/>
              </w:rPr>
              <w:t>baseline</w:t>
            </w:r>
          </w:p>
        </w:tc>
      </w:tr>
    </w:tbl>
    <w:p>
      <w:pPr>
        <w:spacing w:after="120"/>
      </w:pPr>
      <w:r>
        <w:rPr>
          <w:b w:val="0"/>
          <w:sz w:val="21"/>
        </w:rPr>
        <w:t>Every attacker accumulates between 5 and 29 times the normal user's drift - even though, in any single week, none of them crossed an alarm threshold. Accumulation converts many invisible weekly changes into one unmistakable signal. (Every figure in 5.5-5.6 is reproducible live in the platform's interactive 'Proof of Realism' view, which lets a reviewer pick any two users and watch volume statistics overlap while cumulative-drift curves diverge.)</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most enterprises already collect — sign-ins, file access, endpoint telemetry, network flow, and domain lookups — plus data-sensitivity labels. No new sensors.</w:t>
      </w:r>
    </w:p>
    <w:p>
      <w:pPr>
        <w:pStyle w:val="ListBullet"/>
        <w:spacing w:after="60"/>
      </w:pPr>
      <w:r>
        <w:rPr>
          <w:b/>
          <w:sz w:val="21"/>
        </w:rPr>
        <w:t xml:space="preserve">Timeline. </w:t>
      </w:r>
      <w:r>
        <w:rPr>
          <w:sz w:val="21"/>
        </w:rPr>
        <w:t>A phased rollout: 4–6 weeks of baseline building, 2–4 weeks of detection tuning (target: false positives under 10%), 2–4 weeks of red-team validation, then production.</w:t>
      </w:r>
    </w:p>
    <w:p>
      <w:pPr>
        <w:pStyle w:val="ListBullet"/>
        <w:spacing w:after="60"/>
      </w:pPr>
      <w:r>
        <w:rPr>
          <w:b/>
          <w:sz w:val="21"/>
        </w:rPr>
        <w:t xml:space="preserve">Footprint. </w:t>
      </w:r>
      <w:r>
        <w:rPr>
          <w:sz w:val="21"/>
        </w:rPr>
        <w:t>Containerized, standard infrastructure, no specialized hardware; suitable for enterprise data centers, cloud, or disconnected secure environments. Behavioral profiles are computed incrementally, so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w:t>
      </w:r>
    </w:p>
    <w:p>
      <w:pPr>
        <w:spacing w:after="120"/>
      </w:pPr>
      <w:r>
        <w:rPr>
          <w:b w:val="0"/>
          <w:i w:val="0"/>
          <w:sz w:val="21"/>
        </w:rP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pPr>
        <w:spacing w:after="120"/>
      </w:pPr>
      <w:r>
        <w:rPr>
          <w:b/>
          <w:i w:val="0"/>
          <w:sz w:val="21"/>
        </w:rPr>
        <w:t>The insider changes WHAT they access, not HOW MUCH. The APT changes WHERE it communicates, not HOW OFTEN. Traditional tools measure magnitude; V-Intelligence UEBA measures direction — and direction is where these attacks live.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