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40"/>
        <w:jc w:val="center"/>
      </w:pPr>
      <w:r>
        <w:rPr>
          <w:b/>
          <w:color w:val="0B1F3A"/>
          <w:sz w:val="24"/>
        </w:rPr>
        <w:t>Prepared for: Defense Logistics Agency - Office of the CIO and PEO</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160" w:after="60"/>
      </w:pPr>
      <w:r>
        <w:rPr>
          <w:b/>
          <w:color w:val="C25A12"/>
          <w:sz w:val="24"/>
        </w:rPr>
        <w:t>5.5  Were the attackers actually hard to find?</w:t>
      </w:r>
    </w:p>
    <w:p>
      <w:pPr>
        <w:spacing w:after="120"/>
      </w:pPr>
      <w:r>
        <w:rPr>
          <w:b w:val="0"/>
          <w:sz w:val="21"/>
        </w:rPr>
        <w:t>A detection result is only as strong as the difficulty of the problem it solved. Before trusting the scoreboard above, the fair question is whether the simulated attackers were genuinely evasive — or merely obvious. Three measured checks confirm they were hard to find. The hardest case, the slow APT (USR-234), is used throughout.</w:t>
      </w:r>
    </w:p>
    <w:p>
      <w:pPr>
        <w:spacing w:after="120"/>
      </w:pPr>
      <w:r>
        <w:rPr>
          <w:b w:val="0"/>
          <w:sz w:val="21"/>
        </w:rPr>
        <w:t>Statistical twins. Averaged across all weeks, the slow APT is indistinguishable from an ordinary user — and on two measures it is actually quieter: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Weekly measure</w:t>
            </w:r>
          </w:p>
        </w:tc>
        <w:tc>
          <w:tcPr>
            <w:tcW w:type="dxa" w:w="2448"/>
            <w:shd w:fill="0B1F3A"/>
          </w:tcPr>
          <w:p>
            <w:pPr>
              <w:jc w:val="center"/>
            </w:pPr>
            <w:r>
              <w:rPr>
                <w:b/>
                <w:color w:val="FFFFFF"/>
                <w:sz w:val="18"/>
              </w:rPr>
              <w:t>Slow APT</w:t>
            </w:r>
          </w:p>
        </w:tc>
        <w:tc>
          <w:tcPr>
            <w:tcW w:type="dxa" w:w="2448"/>
            <w:shd w:fill="0B1F3A"/>
          </w:tcPr>
          <w:p>
            <w:pPr>
              <w:jc w:val="center"/>
            </w:pPr>
            <w:r>
              <w:rPr>
                <w:b/>
                <w:color w:val="FFFFFF"/>
                <w:sz w:val="18"/>
              </w:rPr>
              <w:t>Normal user</w:t>
            </w:r>
          </w:p>
        </w:tc>
        <w:tc>
          <w:tcPr>
            <w:tcW w:type="dxa" w:w="2448"/>
            <w:shd w:fill="0B1F3A"/>
          </w:tcPr>
          <w:p>
            <w:pPr>
              <w:jc w:val="center"/>
            </w:pPr>
            <w:r>
              <w:rPr>
                <w:b/>
                <w:color w:val="FFFFFF"/>
                <w:sz w:val="18"/>
              </w:rPr>
              <w:t>Verdict</w:t>
            </w:r>
          </w:p>
        </w:tc>
      </w:tr>
      <w:tr>
        <w:tc>
          <w:tcPr>
            <w:tcW w:type="dxa" w:w="2448"/>
          </w:tcPr>
          <w:p>
            <w:r>
              <w:rPr>
                <w:sz w:val="18"/>
              </w:rPr>
              <w:t>File accesses</w:t>
            </w:r>
          </w:p>
        </w:tc>
        <w:tc>
          <w:tcPr>
            <w:tcW w:type="dxa" w:w="2448"/>
          </w:tcPr>
          <w:p>
            <w:r>
              <w:rPr>
                <w:sz w:val="18"/>
              </w:rPr>
              <w:t>70.9</w:t>
            </w:r>
          </w:p>
        </w:tc>
        <w:tc>
          <w:tcPr>
            <w:tcW w:type="dxa" w:w="2448"/>
          </w:tcPr>
          <w:p>
            <w:r>
              <w:rPr>
                <w:sz w:val="18"/>
              </w:rPr>
              <w:t>68.7</w:t>
            </w:r>
          </w:p>
        </w:tc>
        <w:tc>
          <w:tcPr>
            <w:tcW w:type="dxa" w:w="2448"/>
          </w:tcPr>
          <w:p>
            <w:r>
              <w:rPr>
                <w:sz w:val="18"/>
              </w:rPr>
              <w:t>~ identical</w:t>
            </w:r>
          </w:p>
        </w:tc>
      </w:tr>
      <w:tr>
        <w:tc>
          <w:tcPr>
            <w:tcW w:type="dxa" w:w="2448"/>
            <w:shd w:fill="EEF2F7"/>
          </w:tcPr>
          <w:p>
            <w:r>
              <w:rPr>
                <w:sz w:val="18"/>
              </w:rPr>
              <w:t>Restricted-file ratio</w:t>
            </w:r>
          </w:p>
        </w:tc>
        <w:tc>
          <w:tcPr>
            <w:tcW w:type="dxa" w:w="2448"/>
            <w:shd w:fill="EEF2F7"/>
          </w:tcPr>
          <w:p>
            <w:r>
              <w:rPr>
                <w:sz w:val="18"/>
              </w:rPr>
              <w:t>0.046</w:t>
            </w:r>
          </w:p>
        </w:tc>
        <w:tc>
          <w:tcPr>
            <w:tcW w:type="dxa" w:w="2448"/>
            <w:shd w:fill="EEF2F7"/>
          </w:tcPr>
          <w:p>
            <w:r>
              <w:rPr>
                <w:sz w:val="18"/>
              </w:rPr>
              <w:t>0.060</w:t>
            </w:r>
          </w:p>
        </w:tc>
        <w:tc>
          <w:tcPr>
            <w:tcW w:type="dxa" w:w="2448"/>
            <w:shd w:fill="EEF2F7"/>
          </w:tcPr>
          <w:p>
            <w:r>
              <w:rPr>
                <w:sz w:val="18"/>
              </w:rPr>
              <w:t>attacker LOWER</w:t>
            </w:r>
          </w:p>
        </w:tc>
      </w:tr>
      <w:tr>
        <w:tc>
          <w:tcPr>
            <w:tcW w:type="dxa" w:w="2448"/>
          </w:tcPr>
          <w:p>
            <w:r>
              <w:rPr>
                <w:sz w:val="18"/>
              </w:rPr>
              <w:t>Network bytes sent</w:t>
            </w:r>
          </w:p>
        </w:tc>
        <w:tc>
          <w:tcPr>
            <w:tcW w:type="dxa" w:w="2448"/>
          </w:tcPr>
          <w:p>
            <w:r>
              <w:rPr>
                <w:sz w:val="18"/>
              </w:rPr>
              <w:t>782M</w:t>
            </w:r>
          </w:p>
        </w:tc>
        <w:tc>
          <w:tcPr>
            <w:tcW w:type="dxa" w:w="2448"/>
          </w:tcPr>
          <w:p>
            <w:r>
              <w:rPr>
                <w:sz w:val="18"/>
              </w:rPr>
              <w:t>711M</w:t>
            </w:r>
          </w:p>
        </w:tc>
        <w:tc>
          <w:tcPr>
            <w:tcW w:type="dxa" w:w="2448"/>
          </w:tcPr>
          <w:p>
            <w:r>
              <w:rPr>
                <w:sz w:val="18"/>
              </w:rPr>
              <w:t>within variance</w:t>
            </w:r>
          </w:p>
        </w:tc>
      </w:tr>
      <w:tr>
        <w:tc>
          <w:tcPr>
            <w:tcW w:type="dxa" w:w="2448"/>
            <w:shd w:fill="EEF2F7"/>
          </w:tcPr>
          <w:p>
            <w:r>
              <w:rPr>
                <w:sz w:val="18"/>
              </w:rPr>
              <w:t>Failed-DNS ratio</w:t>
            </w:r>
          </w:p>
        </w:tc>
        <w:tc>
          <w:tcPr>
            <w:tcW w:type="dxa" w:w="2448"/>
            <w:shd w:fill="EEF2F7"/>
          </w:tcPr>
          <w:p>
            <w:r>
              <w:rPr>
                <w:sz w:val="18"/>
              </w:rPr>
              <w:t>0.039</w:t>
            </w:r>
          </w:p>
        </w:tc>
        <w:tc>
          <w:tcPr>
            <w:tcW w:type="dxa" w:w="2448"/>
            <w:shd w:fill="EEF2F7"/>
          </w:tcPr>
          <w:p>
            <w:r>
              <w:rPr>
                <w:sz w:val="18"/>
              </w:rPr>
              <w:t>0.044</w:t>
            </w:r>
          </w:p>
        </w:tc>
        <w:tc>
          <w:tcPr>
            <w:tcW w:type="dxa" w:w="2448"/>
            <w:shd w:fill="EEF2F7"/>
          </w:tcPr>
          <w:p>
            <w:r>
              <w:rPr>
                <w:sz w:val="18"/>
              </w:rPr>
              <w:t>attacker LOWER</w:t>
            </w:r>
          </w:p>
        </w:tc>
      </w:tr>
    </w:tbl>
    <w:p>
      <w:pPr>
        <w:spacing w:after="120"/>
      </w:pPr>
      <w:r>
        <w:rPr>
          <w:b w:val="0"/>
          <w:sz w:val="21"/>
        </w:rPr>
        <w:t>A whisper in a stadium. In the raw logs, the attacker's command-and-control beacon moves 120-487 bytes across a whole day - roughly 380,000 times smaller than the single largest ordinary network flow on the same day (184 MB). No volume threshold can isolate the whisper without drowning in normal traffic.</w:t>
      </w:r>
    </w:p>
    <w:p>
      <w:pPr>
        <w:spacing w:after="120"/>
      </w:pPr>
      <w:r>
        <w:rPr>
          <w:b w:val="0"/>
          <w:sz w:val="21"/>
        </w:rPr>
        <w:t>Ordinary among peers. Measured against its 62 role peers (the developer cohort), the attacker sits inside the normal middle-50% range on file access, restricted-file ratio, and network volume. By volume, it is an unremarkable developer. Only the direction of its behavior over time - and the recurrence of one novel address in 60 of 60 weeks - sets it apart.</w:t>
      </w:r>
    </w:p>
    <w:p>
      <w:pPr>
        <w:spacing w:before="160" w:after="60"/>
      </w:pPr>
      <w:r>
        <w:rPr>
          <w:b/>
          <w:color w:val="C25A12"/>
          <w:sz w:val="24"/>
        </w:rPr>
        <w:t>5.6  How invisible weekly changes add up</w:t>
      </w:r>
    </w:p>
    <w:p>
      <w:pPr>
        <w:spacing w:after="120"/>
      </w:pPr>
      <w:r>
        <w:rPr>
          <w:b w:val="0"/>
          <w:sz w:val="21"/>
        </w:rPr>
        <w:t>If the attacker never spikes, how is it caught? By accumulation. Each week the system measures how far behavior moved, subtracts a small allowance for normal week-to-week wobble (measured at 0.0138 on this data), and adds the remainder to a running total that resets to zero whenever a week looks normal. A sustained attacker drifts a little further in the same direction every week, so the total climbs and never resets; a normal user's keeps resetting. This running total is called CUSUM - the mathematical answer to 'slow and low.'</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Entity</w:t>
            </w:r>
          </w:p>
        </w:tc>
        <w:tc>
          <w:tcPr>
            <w:tcW w:type="dxa" w:w="2448"/>
            <w:shd w:fill="0B1F3A"/>
          </w:tcPr>
          <w:p>
            <w:pPr>
              <w:jc w:val="center"/>
            </w:pPr>
            <w:r>
              <w:rPr>
                <w:b/>
                <w:color w:val="FFFFFF"/>
                <w:sz w:val="18"/>
              </w:rPr>
              <w:t>Type</w:t>
            </w:r>
          </w:p>
        </w:tc>
        <w:tc>
          <w:tcPr>
            <w:tcW w:type="dxa" w:w="2448"/>
            <w:shd w:fill="0B1F3A"/>
          </w:tcPr>
          <w:p>
            <w:pPr>
              <w:jc w:val="center"/>
            </w:pPr>
            <w:r>
              <w:rPr>
                <w:b/>
                <w:color w:val="FFFFFF"/>
                <w:sz w:val="18"/>
              </w:rPr>
              <w:t>Cumulative drift</w:t>
            </w:r>
          </w:p>
        </w:tc>
        <w:tc>
          <w:tcPr>
            <w:tcW w:type="dxa" w:w="2448"/>
            <w:shd w:fill="0B1F3A"/>
          </w:tcPr>
          <w:p>
            <w:pPr>
              <w:jc w:val="center"/>
            </w:pPr>
            <w:r>
              <w:rPr>
                <w:b/>
                <w:color w:val="FFFFFF"/>
                <w:sz w:val="18"/>
              </w:rPr>
              <w:t>vs. normal user</w:t>
            </w:r>
          </w:p>
        </w:tc>
      </w:tr>
      <w:tr>
        <w:tc>
          <w:tcPr>
            <w:tcW w:type="dxa" w:w="2448"/>
          </w:tcPr>
          <w:p>
            <w:r>
              <w:rPr>
                <w:sz w:val="18"/>
              </w:rPr>
              <w:t>USR-156</w:t>
            </w:r>
          </w:p>
        </w:tc>
        <w:tc>
          <w:tcPr>
            <w:tcW w:type="dxa" w:w="2448"/>
          </w:tcPr>
          <w:p>
            <w:r>
              <w:rPr>
                <w:sz w:val="18"/>
              </w:rPr>
              <w:t>Insider threat</w:t>
            </w:r>
          </w:p>
        </w:tc>
        <w:tc>
          <w:tcPr>
            <w:tcW w:type="dxa" w:w="2448"/>
          </w:tcPr>
          <w:p>
            <w:r>
              <w:rPr>
                <w:sz w:val="18"/>
              </w:rPr>
              <w:t>0.779</w:t>
            </w:r>
          </w:p>
        </w:tc>
        <w:tc>
          <w:tcPr>
            <w:tcW w:type="dxa" w:w="2448"/>
          </w:tcPr>
          <w:p>
            <w:r>
              <w:rPr>
                <w:sz w:val="18"/>
              </w:rPr>
              <w:t>29x</w:t>
            </w:r>
          </w:p>
        </w:tc>
      </w:tr>
      <w:tr>
        <w:tc>
          <w:tcPr>
            <w:tcW w:type="dxa" w:w="2448"/>
            <w:shd w:fill="EEF2F7"/>
          </w:tcPr>
          <w:p>
            <w:r>
              <w:rPr>
                <w:sz w:val="18"/>
              </w:rPr>
              <w:t>USR-042</w:t>
            </w:r>
          </w:p>
        </w:tc>
        <w:tc>
          <w:tcPr>
            <w:tcW w:type="dxa" w:w="2448"/>
            <w:shd w:fill="EEF2F7"/>
          </w:tcPr>
          <w:p>
            <w:r>
              <w:rPr>
                <w:sz w:val="18"/>
              </w:rPr>
              <w:t>Volt Typhoon (LOTL)</w:t>
            </w:r>
          </w:p>
        </w:tc>
        <w:tc>
          <w:tcPr>
            <w:tcW w:type="dxa" w:w="2448"/>
            <w:shd w:fill="EEF2F7"/>
          </w:tcPr>
          <w:p>
            <w:r>
              <w:rPr>
                <w:sz w:val="18"/>
              </w:rPr>
              <w:t>0.474</w:t>
            </w:r>
          </w:p>
        </w:tc>
        <w:tc>
          <w:tcPr>
            <w:tcW w:type="dxa" w:w="2448"/>
            <w:shd w:fill="EEF2F7"/>
          </w:tcPr>
          <w:p>
            <w:r>
              <w:rPr>
                <w:sz w:val="18"/>
              </w:rPr>
              <w:t>18x</w:t>
            </w:r>
          </w:p>
        </w:tc>
      </w:tr>
      <w:tr>
        <w:tc>
          <w:tcPr>
            <w:tcW w:type="dxa" w:w="2448"/>
          </w:tcPr>
          <w:p>
            <w:r>
              <w:rPr>
                <w:sz w:val="18"/>
              </w:rPr>
              <w:t>USR-234</w:t>
            </w:r>
          </w:p>
        </w:tc>
        <w:tc>
          <w:tcPr>
            <w:tcW w:type="dxa" w:w="2448"/>
          </w:tcPr>
          <w:p>
            <w:r>
              <w:rPr>
                <w:sz w:val="18"/>
              </w:rPr>
              <w:t>Slow APT (C2 beacon)</w:t>
            </w:r>
          </w:p>
        </w:tc>
        <w:tc>
          <w:tcPr>
            <w:tcW w:type="dxa" w:w="2448"/>
          </w:tcPr>
          <w:p>
            <w:r>
              <w:rPr>
                <w:sz w:val="18"/>
              </w:rPr>
              <w:t>0.162</w:t>
            </w:r>
          </w:p>
        </w:tc>
        <w:tc>
          <w:tcPr>
            <w:tcW w:type="dxa" w:w="2448"/>
          </w:tcPr>
          <w:p>
            <w:r>
              <w:rPr>
                <w:sz w:val="18"/>
              </w:rPr>
              <w:t>6x</w:t>
            </w:r>
          </w:p>
        </w:tc>
      </w:tr>
      <w:tr>
        <w:tc>
          <w:tcPr>
            <w:tcW w:type="dxa" w:w="2448"/>
            <w:shd w:fill="EEF2F7"/>
          </w:tcPr>
          <w:p>
            <w:r>
              <w:rPr>
                <w:sz w:val="18"/>
              </w:rPr>
              <w:t>USR-118</w:t>
            </w:r>
          </w:p>
        </w:tc>
        <w:tc>
          <w:tcPr>
            <w:tcW w:type="dxa" w:w="2448"/>
            <w:shd w:fill="EEF2F7"/>
          </w:tcPr>
          <w:p>
            <w:r>
              <w:rPr>
                <w:sz w:val="18"/>
              </w:rPr>
              <w:t>Salt Typhoon (telecom)</w:t>
            </w:r>
          </w:p>
        </w:tc>
        <w:tc>
          <w:tcPr>
            <w:tcW w:type="dxa" w:w="2448"/>
            <w:shd w:fill="EEF2F7"/>
          </w:tcPr>
          <w:p>
            <w:r>
              <w:rPr>
                <w:sz w:val="18"/>
              </w:rPr>
              <w:t>0.131</w:t>
            </w:r>
          </w:p>
        </w:tc>
        <w:tc>
          <w:tcPr>
            <w:tcW w:type="dxa" w:w="2448"/>
            <w:shd w:fill="EEF2F7"/>
          </w:tcPr>
          <w:p>
            <w:r>
              <w:rPr>
                <w:sz w:val="18"/>
              </w:rPr>
              <w:t>5x</w:t>
            </w:r>
          </w:p>
        </w:tc>
      </w:tr>
      <w:tr>
        <w:tc>
          <w:tcPr>
            <w:tcW w:type="dxa" w:w="2448"/>
          </w:tcPr>
          <w:p>
            <w:r>
              <w:rPr>
                <w:sz w:val="18"/>
              </w:rPr>
              <w:t>USR-001</w:t>
            </w:r>
          </w:p>
        </w:tc>
        <w:tc>
          <w:tcPr>
            <w:tcW w:type="dxa" w:w="2448"/>
          </w:tcPr>
          <w:p>
            <w:r>
              <w:rPr>
                <w:sz w:val="18"/>
              </w:rPr>
              <w:t>Normal user</w:t>
            </w:r>
          </w:p>
        </w:tc>
        <w:tc>
          <w:tcPr>
            <w:tcW w:type="dxa" w:w="2448"/>
          </w:tcPr>
          <w:p>
            <w:r>
              <w:rPr>
                <w:sz w:val="18"/>
              </w:rPr>
              <w:t>0.026</w:t>
            </w:r>
          </w:p>
        </w:tc>
        <w:tc>
          <w:tcPr>
            <w:tcW w:type="dxa" w:w="2448"/>
          </w:tcPr>
          <w:p>
            <w:r>
              <w:rPr>
                <w:sz w:val="18"/>
              </w:rPr>
              <w:t>baseline</w:t>
            </w:r>
          </w:p>
        </w:tc>
      </w:tr>
    </w:tbl>
    <w:p>
      <w:pPr>
        <w:spacing w:after="120"/>
      </w:pPr>
      <w:r>
        <w:rPr>
          <w:b w:val="0"/>
          <w:sz w:val="21"/>
        </w:rPr>
        <w:t>Every attacker accumulates between 5 and 29 times the normal user's drift - even though, in any single week, none of them crossed an alarm threshold. Accumulation converts many invisible weekly changes into one unmistakable signal. (Every figure in 5.5-5.6 is reproducible live in the platform's interactive 'Proof of Realism' view, which lets a reviewer pick any two users and watch volume statistics overlap while cumulative-drift curves diverge.)</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