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Behavioral Intelligence vs. Traditional Security Monitoring</w:t>
      </w:r>
    </w:p>
    <w:p>
      <w:pPr>
        <w:spacing w:after="40"/>
      </w:pPr>
      <w:r>
        <w:rPr>
          <w:b w:val="0"/>
          <w:i w:val="0"/>
          <w:color w:val="555F6B"/>
          <w:sz w:val="25"/>
        </w:rPr>
        <w:t>A business and technology overview of V-Intelligence UEBA: what it is, what it detects that current tools miss, how the two-layer detection engine works, and what the measured evidence shows.</w:t>
      </w:r>
    </w:p>
    <w:p>
      <w:pPr>
        <w:spacing w:after="40"/>
      </w:pPr>
      <w:r>
        <w:rPr>
          <w:b w:val="0"/>
          <w:i w:val="0"/>
          <w:color w:val="555F6B"/>
          <w:sz w:val="19"/>
        </w:rPr>
        <w:t>22nd Century Technologies, Inc.  ·  V-Intelligence UEBA Program  ·  June 2026  ·  Business Edition (Enhanced)</w:t>
      </w:r>
    </w:p>
    <w:p>
      <w:pPr>
        <w:spacing w:after="400"/>
      </w:pPr>
      <w:r>
        <w:rPr>
          <w:rFonts w:ascii="Calibri" w:hAnsi="Calibri"/>
          <w:b/>
          <w:color w:val="0B1F3A"/>
          <w:sz w:val="24"/>
        </w:rPr>
        <w:t>Prepared for: Defense Information Systems Agency - PEO for Cyber</w:t>
      </w:r>
    </w:p>
    <w:p>
      <w:pPr>
        <w:spacing w:after="80"/>
      </w:pPr>
      <w:r>
        <w:rPr>
          <w:b w:val="0"/>
          <w:i/>
          <w:color w:val="C25A12"/>
          <w:sz w:val="19"/>
        </w:rPr>
        <w:t>Disclosure note: this edition describes the architecture and the innovation and reports measured results. The exact detection logic — named-profile definitions,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(70 weeks),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the business case for User and Entity Behavior Analytics (UEBA) — a detection approach that learns a behavioral baseline for every user and system, then watches both how much behavior changes and the direction in which it is trending. The V-Intelligence UEBA program validated the approach on a realistic simulated enterprise: 250 users, 485 days, roughly 15 million events, and four embedded attack campaigns — a 14-month insider threat, a 417-day slow nation-state intrusion with covert call-home traffic, a Volt Typhoon-style living-off-the-land campaign, and a Salt Typhoon-style telecom campaign.</w:t>
      </w:r>
    </w:p>
    <w:p>
      <w:pPr>
        <w:spacing w:after="120"/>
      </w:pPr>
      <w:r>
        <w:rPr>
          <w:b/>
          <w:i w:val="0"/>
          <w:sz w:val="21"/>
        </w:rPr>
        <w:t>The detection engine has two layers, and that is the central message of this edition:</w:t>
      </w:r>
    </w:p>
    <w:p>
      <w:pPr>
        <w:pStyle w:val="ListBullet"/>
        <w:spacing w:after="60"/>
      </w:pPr>
      <w:r>
        <w:rPr>
          <w:b/>
          <w:sz w:val="21"/>
        </w:rPr>
        <w:t xml:space="preserve">Layer 1 — Multi-front threat-profile detector (precision). </w:t>
      </w:r>
      <w:r>
        <w:rPr>
          <w:sz w:val="21"/>
        </w:rPr>
        <w:t>a library of measurable known-bad behavioral fingerprints — cohort-relative profiles (how an entity behaves versus its role-group peers) plus raw-event profiles (covert call-home beacons, algorithmically generated domains, rare external destinations). Each flag is a named profile match, so it is precise and explainable. On the validation set it detected all four attack campaigns at zero false positives.</w:t>
      </w:r>
    </w:p>
    <w:p>
      <w:pPr>
        <w:pStyle w:val="ListBullet"/>
        <w:spacing w:after="60"/>
      </w:pPr>
      <w:r>
        <w:rPr>
          <w:b/>
          <w:sz w:val="21"/>
        </w:rPr>
        <w:t xml:space="preserve">Layer 2 — Behavioral embeddings, drift, and novelty (discovery). </w:t>
      </w:r>
      <w:r>
        <w:rPr>
          <w:sz w:val="21"/>
        </w:rPr>
        <w:t>a behavioral "map of meaning" built from the same representation that powers large language models, which measures drift and novelty and names the direction of change against MITRE ATT&amp;CK. It is the discovery net for attacks not yet in the fingerprint library, and it is what makes the precision layer's beacon and domain fingerprints possible. On its own it cleanly separates two of the four campaigns and supplies the explanation for all of them.</w:t>
      </w:r>
    </w:p>
    <w:p>
      <w:pPr>
        <w:spacing w:after="120"/>
      </w:pPr>
      <w:r>
        <w:rPr>
          <w:b/>
          <w:i w:val="0"/>
          <w:sz w:val="21"/>
        </w:rPr>
        <w:t>The headline result,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statistical spike with no explanation of which behavior changed or what kind of threat it resembled.</w:t>
      </w:r>
    </w:p>
    <w:p>
      <w:pPr>
        <w:pStyle w:val="ListBullet"/>
        <w:spacing w:after="60"/>
      </w:pPr>
      <w:r>
        <w:rPr>
          <w:b/>
          <w:sz w:val="21"/>
        </w:rPr>
        <w:t xml:space="preserve">Four of four detected, zero false positives, each one named. </w:t>
      </w:r>
      <w:r>
        <w:rPr>
          <w:sz w:val="21"/>
        </w:rPr>
        <w:t>Layer 1 matched all four campaigns to named attack fingerprints — and flagged no normal user. Every detection carries the specific profile it matched and the MITRE ATT&amp;CK technique it represents.</w:t>
      </w:r>
    </w:p>
    <w:p>
      <w:pPr>
        <w:spacing w:after="120"/>
      </w:pPr>
      <w:r>
        <w:rPr>
          <w:b/>
          <w:i w:val="0"/>
          <w:sz w:val="21"/>
        </w:rPr>
        <w:t>The underlying distinction is straightforward. An insider changes what they access, not how much; a slow intrusion changes where it communicates, not how often. Traditional algorithms measure magnitude; V-Intelligence UEBA measures direction, peer-relative deviation, and named-profile match.</w:t>
      </w:r>
    </w:p>
    <w:p>
      <w:pPr>
        <w:spacing w:before="280" w:after="80"/>
      </w:pPr>
      <w:r>
        <w:rPr>
          <w:b/>
          <w:color w:val="0B1F3A"/>
          <w:sz w:val="30"/>
        </w:rPr>
        <w:t>2.  The Operating Environment Requires Faster, Better-Explained Detection</w:t>
      </w:r>
    </w:p>
    <w:p>
      <w:pPr>
        <w:spacing w:after="120"/>
      </w:pPr>
      <w:r>
        <w:rPr>
          <w:b w:val="0"/>
          <w:i w:val="0"/>
          <w:sz w:val="21"/>
        </w:rPr>
        <w:t>A modern security operations center (SOC — the analyst team that watches alerts and runs investigations) is not short of data. It is short of context: which of today's thousands of alerts is the early stage of a real intrusion, and what exactly is the evidence. Analysts drown in low-context alerts while the attacks that matter most generate no alert at all, because every individual action is authorized.</w:t>
      </w: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bottleneck is not missing logs — it is missing behavioral context. The enterprise already collects the telemetry needed to catch these attacks; what is missing is an engine that reads each entity's behavior in context, names what changed, and hands the analyst a short, explained list instead of a long, raw one.</w:t>
            </w:r>
          </w:p>
        </w:tc>
      </w:tr>
    </w:tbl>
    <w:p>
      <w:pPr>
        <w:spacing w:after="40"/>
      </w:pPr>
    </w:p>
    <w:p>
      <w:pPr>
        <w:spacing w:before="280" w:after="80"/>
      </w:pPr>
      <w:r>
        <w:rPr>
          <w:b/>
          <w:color w:val="0B1F3A"/>
          <w:sz w:val="30"/>
        </w:rPr>
        <w:t>3.  The Challenge Is Unseen Intent, Not Missing Data</w:t>
      </w:r>
    </w:p>
    <w:p>
      <w:pPr>
        <w:spacing w:after="120"/>
      </w:pPr>
      <w:r>
        <w:rPr>
          <w:b w:val="0"/>
          <w:i w:val="0"/>
          <w:sz w:val="21"/>
        </w:rPr>
        <w:t>Enterprise security monitoring rests on two pillars. The first is the SIEM (Security Information and Event Management system), the central log platform that applies expert-written rules to spot known attack patterns. The second is signature-based detection: antivirus and intrusion-detection tools that match activity against IOCs (Indicators of Compromise —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 PowerShell, remote desktop, management utilities. There is no malware to fingerprint and no rule to violate, because every action is, in isolation, an authorized one.</w:t>
      </w:r>
    </w:p>
    <w:p>
      <w:pPr>
        <w:spacing w:after="120"/>
      </w:pPr>
      <w:r>
        <w:rPr>
          <w:b w:val="0"/>
          <w:i w:val="0"/>
          <w:sz w:val="21"/>
        </w:rPr>
        <w:t>The common technique is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 and it is the gap behavioral analytics is built to close.</w:t>
      </w:r>
    </w:p>
    <w:p>
      <w:pPr>
        <w:spacing w:before="280" w:after="80"/>
      </w:pPr>
      <w:r>
        <w:rPr>
          <w:b/>
          <w:color w:val="0B1F3A"/>
          <w:sz w:val="30"/>
        </w:rPr>
        <w:t>4.  Bottom Line — the Opportunity in One Page</w:t>
      </w:r>
    </w:p>
    <w:p>
      <w:pPr>
        <w:spacing w:after="120"/>
      </w:pPr>
      <w:r>
        <w:rPr>
          <w:b/>
          <w:i w:val="0"/>
          <w:sz w:val="21"/>
        </w:rPr>
        <w:t>Same enterprise logs, read a different way — a behavioral detection legacy tools cannot produce.</w:t>
      </w:r>
    </w:p>
    <w:tbl>
      <w:tblPr>
        <w:tblStyle w:val="TableGrid"/>
        <w:tblW w:type="auto" w:w="0"/>
        <w:jc w:val="center"/>
        <w:tblLook w:firstColumn="1" w:firstRow="1" w:lastColumn="0" w:lastRow="0" w:noHBand="0" w:noVBand="1" w:val="04A0"/>
      </w:tblPr>
      <w:tblGrid>
        <w:gridCol w:w="4896"/>
        <w:gridCol w:w="4896"/>
      </w:tblGrid>
      <w:tr>
        <w:tc>
          <w:tcPr>
            <w:tcW w:type="dxa" w:w="4824"/>
            <w:shd w:val="clear" w:fill="F4F6F8"/>
          </w:tcPr>
          <w:p>
            <w:pPr>
              <w:spacing w:after="40"/>
            </w:pPr>
            <w:r/>
            <w:r>
              <w:rPr>
                <w:b/>
                <w:color w:val="C25A12"/>
                <w:sz w:val="19"/>
              </w:rPr>
              <w:t>THE PROBLEM</w:t>
            </w:r>
          </w:p>
          <w:p>
            <w:pPr>
              <w:spacing w:after="40"/>
            </w:pPr>
            <w:r>
              <w:rPr>
                <w:color w:val="0B1F3A"/>
                <w:sz w:val="19"/>
              </w:rPr>
              <w:t>Signature and threshold tools ask "does this match known-bad?" The attacks that matter answer "no" — they use valid credentials and legitimate tools, and change behavior too slowly to cross any line.</w:t>
            </w:r>
          </w:p>
        </w:tc>
        <w:tc>
          <w:tcPr>
            <w:tcW w:type="dxa" w:w="4824"/>
            <w:shd w:val="clear" w:fill="F4F6F8"/>
          </w:tcPr>
          <w:p>
            <w:pPr>
              <w:spacing w:after="40"/>
            </w:pPr>
            <w:r/>
            <w:r>
              <w:rPr>
                <w:b/>
                <w:color w:val="C25A12"/>
                <w:sz w:val="19"/>
              </w:rPr>
              <w:t>WHAT V-INTELLIGENCE DOES</w:t>
            </w:r>
          </w:p>
          <w:p>
            <w:pPr>
              <w:spacing w:after="40"/>
            </w:pPr>
            <w:r>
              <w:rPr>
                <w:color w:val="0B1F3A"/>
                <w:sz w:val="19"/>
              </w:rPr>
              <w:t>Reads the same logs as a behavioral profile per entity: where it sits versus its peers, where it is heading (drift), and whether it matches a named known-bad fingerprint — then names the threat and the ATT&amp;CK technique.</w:t>
            </w:r>
          </w:p>
        </w:tc>
      </w:tr>
      <w:tr>
        <w:tc>
          <w:tcPr>
            <w:tcW w:type="dxa" w:w="4824"/>
            <w:shd w:val="clear" w:fill="F4F6F8"/>
          </w:tcPr>
          <w:p>
            <w:pPr>
              <w:spacing w:after="40"/>
            </w:pPr>
            <w:r/>
            <w:r>
              <w:rPr>
                <w:b/>
                <w:color w:val="C25A12"/>
                <w:sz w:val="19"/>
              </w:rPr>
              <w:t>THE PROOF</w:t>
            </w:r>
          </w:p>
          <w:p>
            <w:pPr>
              <w:spacing w:after="40"/>
            </w:pPr>
            <w:r>
              <w:rPr>
                <w:color w:val="0B1F3A"/>
                <w:sz w:val="19"/>
              </w:rPr>
              <w:t>Four embedded campaigns — insider, slow APT, LOTL, Salt Typhoon — all four matched to named attack fingerprints at ZERO false positives, where the best traditional method caught one of four with no explanation.</w:t>
            </w:r>
          </w:p>
        </w:tc>
        <w:tc>
          <w:tcPr>
            <w:tcW w:type="dxa" w:w="4824"/>
            <w:shd w:val="clear" w:fill="F4F6F8"/>
          </w:tcPr>
          <w:p>
            <w:pPr>
              <w:spacing w:after="40"/>
            </w:pPr>
            <w:r/>
            <w:r>
              <w:rPr>
                <w:b/>
                <w:color w:val="C25A12"/>
                <w:sz w:val="19"/>
              </w:rPr>
              <w:t>THE ASK</w:t>
            </w:r>
          </w:p>
          <w:p>
            <w:pPr>
              <w:spacing w:after="40"/>
            </w:pPr>
            <w:r>
              <w:rPr>
                <w:color w:val="0B1F3A"/>
                <w:sz w:val="19"/>
              </w:rPr>
              <w:t>Validate on real telemetry through a bounded pilot — uses five log sources most enterprises already collect; runs in containers (cloud or air-gapped); integrates with the existing SIEM/SOAR stack.</w:t>
            </w:r>
          </w:p>
        </w:tc>
      </w:tr>
    </w:tbl>
    <w:p>
      <w:pPr>
        <w:spacing w:after="40"/>
      </w:pPr>
    </w:p>
    <w:p>
      <w:pPr>
        <w:spacing w:after="120"/>
      </w:pPr>
      <w:r>
        <w:rPr>
          <w:b w:val="0"/>
          <w:i/>
          <w:color w:val="555F6B"/>
          <w:sz w:val="18"/>
        </w:rPr>
        <w:t>Figures throughout are synthetic / representative demo data, to be re-validated on real operational telemetry before any production claim.</w:t>
      </w:r>
    </w:p>
    <w:p>
      <w:pPr>
        <w:spacing w:before="280" w:after="80"/>
      </w:pPr>
      <w:r>
        <w:rPr>
          <w:b/>
          <w:color w:val="0B1F3A"/>
          <w:sz w:val="30"/>
        </w:rPr>
        <w:t>5.  Two Ways to Detect the Same Attack</w:t>
      </w:r>
    </w:p>
    <w:p>
      <w:pPr>
        <w:spacing w:after="120"/>
      </w:pPr>
      <w:r>
        <w:rPr>
          <w:b w:val="0"/>
          <w:i w:val="0"/>
          <w:sz w:val="21"/>
        </w:rPr>
        <w:t>Consider the slow nation-state intrusion in the validation set (user USR-234): a 417-day campaign whose implant calls home roughly every several hours in kilobyte-sized packets, with total traffic, sign-ins, and lookups all inside normal ranges. Here is how each approach handles exactly the same data.</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r>
          </w:p>
        </w:tc>
        <w:tc>
          <w:tcPr>
            <w:tcW w:type="dxa" w:w="4176"/>
            <w:shd w:val="clear" w:fill="0B1F3A"/>
          </w:tcPr>
          <w:p>
            <w:pPr>
              <w:spacing w:after="40" w:before="40"/>
            </w:pPr>
            <w:r/>
            <w:r>
              <w:rPr>
                <w:rFonts w:ascii="Calibri" w:hAnsi="Calibri"/>
                <w:b/>
                <w:color w:val="FFFFFF"/>
                <w:sz w:val="19"/>
              </w:rPr>
              <w:t>Traditional monitoring (threshold / signature)</w:t>
            </w:r>
          </w:p>
        </w:tc>
        <w:tc>
          <w:tcPr>
            <w:tcW w:type="dxa" w:w="4176"/>
            <w:shd w:val="clear" w:fill="0B1F3A"/>
          </w:tcPr>
          <w:p>
            <w:pPr>
              <w:spacing w:after="40" w:before="40"/>
            </w:pPr>
            <w:r/>
            <w:r>
              <w:rPr>
                <w:rFonts w:ascii="Calibri" w:hAnsi="Calibri"/>
                <w:b/>
                <w:color w:val="FFFFFF"/>
                <w:sz w:val="19"/>
              </w:rPr>
              <w:t>V-Intelligence UEBA (behavioral)</w:t>
            </w:r>
          </w:p>
        </w:tc>
      </w:tr>
      <w:tr>
        <w:tc>
          <w:tcPr>
            <w:tcW w:type="dxa" w:w="1728"/>
            <w:shd w:val="clear" w:fill="F4F6F8"/>
          </w:tcPr>
          <w:p>
            <w:pPr>
              <w:spacing w:after="40" w:before="40"/>
            </w:pPr>
            <w:r/>
            <w:r>
              <w:rPr>
                <w:rFonts w:ascii="Calibri" w:hAnsi="Calibri"/>
                <w:b/>
                <w:sz w:val="19"/>
              </w:rPr>
              <w:t>What it looks at</w:t>
            </w:r>
          </w:p>
        </w:tc>
        <w:tc>
          <w:tcPr>
            <w:tcW w:type="dxa" w:w="4176"/>
          </w:tcPr>
          <w:p>
            <w:pPr>
              <w:spacing w:after="40" w:before="40"/>
            </w:pPr>
            <w:r/>
            <w:r>
              <w:rPr>
                <w:rFonts w:ascii="Calibri" w:hAnsi="Calibri"/>
                <w:b w:val="0"/>
                <w:sz w:val="19"/>
              </w:rPr>
              <w:t>Each day's totals against fixed thresholds; each connection against a known-bad list.</w:t>
            </w:r>
          </w:p>
        </w:tc>
        <w:tc>
          <w:tcPr>
            <w:tcW w:type="dxa" w:w="4176"/>
          </w:tcPr>
          <w:p>
            <w:pPr>
              <w:spacing w:after="40" w:before="40"/>
            </w:pPr>
            <w:r/>
            <w:r>
              <w:rPr>
                <w:rFonts w:ascii="Calibri" w:hAnsi="Calibri"/>
                <w:b w:val="0"/>
                <w:sz w:val="19"/>
              </w:rPr>
              <w:t>Every entity's behavior versus its own past and its role-group peers, week over week, in a shared map of meaning.</w:t>
            </w:r>
          </w:p>
        </w:tc>
      </w:tr>
      <w:tr>
        <w:tc>
          <w:tcPr>
            <w:tcW w:type="dxa" w:w="1728"/>
            <w:shd w:val="clear" w:fill="F4F6F8"/>
          </w:tcPr>
          <w:p>
            <w:pPr>
              <w:spacing w:after="40" w:before="40"/>
            </w:pPr>
            <w:r/>
            <w:r>
              <w:rPr>
                <w:rFonts w:ascii="Calibri" w:hAnsi="Calibri"/>
                <w:b/>
                <w:sz w:val="19"/>
              </w:rPr>
              <w:t>Key steps</w:t>
            </w:r>
          </w:p>
        </w:tc>
        <w:tc>
          <w:tcPr>
            <w:tcW w:type="dxa" w:w="4176"/>
          </w:tcPr>
          <w:p>
            <w:pPr>
              <w:spacing w:after="40" w:before="40"/>
            </w:pPr>
            <w:r/>
            <w:r>
              <w:rPr>
                <w:rFonts w:ascii="Calibri" w:hAnsi="Calibri"/>
                <w:b w:val="0"/>
                <w:sz w:val="19"/>
              </w:rPr>
              <w:t>Volume thresholds → signature match → rule correlation in the SIEM.</w:t>
            </w:r>
          </w:p>
        </w:tc>
        <w:tc>
          <w:tcPr>
            <w:tcW w:type="dxa" w:w="4176"/>
          </w:tcPr>
          <w:p>
            <w:pPr>
              <w:spacing w:after="40" w:before="40"/>
            </w:pPr>
            <w:r/>
            <w:r>
              <w:rPr>
                <w:rFonts w:ascii="Calibri" w:hAnsi="Calibri"/>
                <w:b w:val="0"/>
                <w:sz w:val="19"/>
              </w:rPr>
              <w:t>Baseline per entity → measure drift and novelty → match named known-bad profiles → name the ATT&amp;CK technique.</w:t>
            </w:r>
          </w:p>
        </w:tc>
      </w:tr>
      <w:tr>
        <w:tc>
          <w:tcPr>
            <w:tcW w:type="dxa" w:w="1728"/>
            <w:shd w:val="clear" w:fill="F4F6F8"/>
          </w:tcPr>
          <w:p>
            <w:pPr>
              <w:spacing w:after="40" w:before="40"/>
            </w:pPr>
            <w:r/>
            <w:r>
              <w:rPr>
                <w:rFonts w:ascii="Calibri" w:hAnsi="Calibri"/>
                <w:b/>
                <w:sz w:val="19"/>
              </w:rPr>
              <w:t>On USR-234</w:t>
            </w:r>
          </w:p>
        </w:tc>
        <w:tc>
          <w:tcPr>
            <w:tcW w:type="dxa" w:w="4176"/>
          </w:tcPr>
          <w:p>
            <w:pPr>
              <w:spacing w:after="40" w:before="40"/>
            </w:pPr>
            <w:r/>
            <w:r>
              <w:rPr>
                <w:rFonts w:ascii="Calibri" w:hAnsi="Calibri"/>
                <w:b w:val="0"/>
                <w:sz w:val="19"/>
              </w:rPr>
              <w:t>Nothing crosses a threshold; no signature matches; no alert is ever raised.</w:t>
            </w:r>
          </w:p>
        </w:tc>
        <w:tc>
          <w:tcPr>
            <w:tcW w:type="dxa" w:w="4176"/>
          </w:tcPr>
          <w:p>
            <w:pPr>
              <w:spacing w:after="40" w:before="40"/>
            </w:pPr>
            <w:r/>
            <w:r>
              <w:rPr>
                <w:rFonts w:ascii="Calibri" w:hAnsi="Calibri"/>
                <w:b w:val="0"/>
                <w:sz w:val="19"/>
              </w:rPr>
              <w:t>The call-home channel is caught by its robotic rhythm (a beacon fingerprint) and 160 algorithmically generated domains — a named, explained match.</w:t>
            </w:r>
          </w:p>
        </w:tc>
      </w:tr>
      <w:tr>
        <w:tc>
          <w:tcPr>
            <w:tcW w:type="dxa" w:w="1728"/>
            <w:shd w:val="clear" w:fill="F4F6F8"/>
          </w:tcPr>
          <w:p>
            <w:pPr>
              <w:spacing w:after="40" w:before="40"/>
            </w:pPr>
            <w:r/>
            <w:r>
              <w:rPr>
                <w:rFonts w:ascii="Calibri" w:hAnsi="Calibri"/>
                <w:b/>
                <w:sz w:val="19"/>
              </w:rPr>
              <w:t>What the analyst gets</w:t>
            </w:r>
          </w:p>
        </w:tc>
        <w:tc>
          <w:tcPr>
            <w:tcW w:type="dxa" w:w="4176"/>
          </w:tcPr>
          <w:p>
            <w:pPr>
              <w:spacing w:after="40" w:before="40"/>
            </w:pPr>
            <w:r/>
            <w:r>
              <w:rPr>
                <w:rFonts w:ascii="Calibri" w:hAnsi="Calibri"/>
                <w:b w:val="0"/>
                <w:sz w:val="19"/>
              </w:rPr>
              <w:t>Either silence, or a context-free spike with no "why."</w:t>
            </w:r>
          </w:p>
        </w:tc>
        <w:tc>
          <w:tcPr>
            <w:tcW w:type="dxa" w:w="4176"/>
          </w:tcPr>
          <w:p>
            <w:pPr>
              <w:spacing w:after="40" w:before="40"/>
            </w:pPr>
            <w:r/>
            <w:r>
              <w:rPr>
                <w:rFonts w:ascii="Calibri" w:hAnsi="Calibri"/>
                <w:b w:val="0"/>
                <w:sz w:val="19"/>
              </w:rPr>
              <w:t>A short ranked list, each item naming the matched profile, the behavioral zone that moved, and the threat it resembles.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difference is not a better threshold. It is a different question: not "did this cross a line?" but "does this entity's behavior match a known-bad pattern its peers do not show?"</w:t>
            </w:r>
          </w:p>
        </w:tc>
      </w:tr>
    </w:tbl>
    <w:p>
      <w:pPr>
        <w:spacing w:after="40"/>
      </w:pPr>
    </w:p>
    <w:p>
      <w:pPr>
        <w:spacing w:before="280" w:after="80"/>
      </w:pPr>
      <w:r>
        <w:rPr>
          <w:b/>
          <w:color w:val="0B1F3A"/>
          <w:sz w:val="30"/>
        </w:rPr>
        <w:t>6.  Inside the Approach — One Behavioral Profile, Two Detection Layers</w:t>
      </w:r>
    </w:p>
    <w:p>
      <w:pPr>
        <w:spacing w:before="160" w:after="60"/>
      </w:pPr>
      <w:r>
        <w:rPr>
          <w:b/>
          <w:color w:val="C25A12"/>
          <w:sz w:val="24"/>
        </w:rPr>
        <w:t>6.1  The digital entity — a medical chart for behavior</w:t>
      </w:r>
    </w:p>
    <w:p>
      <w:pPr>
        <w:spacing w:after="120"/>
      </w:pPr>
      <w:r>
        <w:rPr>
          <w:b w:val="0"/>
          <w:i w:val="0"/>
          <w:sz w:val="21"/>
        </w:rPr>
        <w:t>V-Intelligence maintains a "digital entity" — a living behavioral profile — for every monitored user and system.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before="160" w:after="60"/>
      </w:pPr>
      <w:r>
        <w:rPr>
          <w:b/>
          <w:color w:val="C25A12"/>
          <w:sz w:val="24"/>
        </w:rPr>
        <w:t>6.2  Layer 1 — the multi-front threat-profile detector (precision)</w:t>
      </w:r>
    </w:p>
    <w:p>
      <w:pPr>
        <w:spacing w:after="120"/>
      </w:pPr>
      <w:r>
        <w:rPr>
          <w:b w:val="0"/>
          <w:i w:val="0"/>
          <w:sz w:val="21"/>
        </w:rPr>
        <w:t>The production detection layer is a library of measurable known-bad fingerprints. Each fingerprint is a precise, named description of how a specific attack technique shows up in behavior, and a flag is raised only when an entity matches one. Because a flag means "this entity matches the recon-fan-out profile" rather than "this entity is statistically unusual," the result is both high-precision and self-explaining. The detector fuses three fronts.</w:t>
      </w:r>
    </w:p>
    <w:p>
      <w:pPr>
        <w:pStyle w:val="ListBullet"/>
        <w:spacing w:after="60"/>
      </w:pPr>
      <w:r>
        <w:rPr>
          <w:b/>
          <w:sz w:val="21"/>
        </w:rPr>
        <w:t xml:space="preserve">Front A — cohort-relative profiles. </w:t>
      </w:r>
      <w:r>
        <w:rPr>
          <w:sz w:val="21"/>
        </w:rPr>
        <w:t>How an entity behaves relative to its role-group peers, not relative to the whole company. A developer is compared with developers, security staff with security staff. A named profile fires only when the right combination of measurements is jointly elevated against peers — for example, "mass collection" requires both a surge in unique files and in total file volume; "recon fan-out" requires an unusual spread of network destinations. Requiring the combination, not any single metric, is what keeps false positives near zero.</w:t>
      </w:r>
    </w:p>
    <w:p>
      <w:pPr>
        <w:pStyle w:val="ListBullet"/>
        <w:spacing w:after="60"/>
      </w:pPr>
      <w:r>
        <w:rPr>
          <w:b/>
          <w:sz w:val="21"/>
        </w:rPr>
        <w:t xml:space="preserve">Front B — raw-event profiles. </w:t>
      </w:r>
      <w:r>
        <w:rPr>
          <w:sz w:val="21"/>
        </w:rPr>
        <w:t>Fingerprints read straight from the raw events, with no labels. The covert call-home beacon is found by its machine-like regularity (a robotic, evenly spaced rhythm that legitimate services do not have); algorithmically generated domains are found by their high randomness and shared infrastructure; rare external destinations are found by being contacted by this entity alone within its cohort.</w:t>
      </w:r>
    </w:p>
    <w:p>
      <w:pPr>
        <w:pStyle w:val="ListBullet"/>
        <w:spacing w:after="60"/>
      </w:pPr>
      <w:r>
        <w:rPr>
          <w:b/>
          <w:sz w:val="21"/>
        </w:rPr>
        <w:t xml:space="preserve">Front C — self-drift (supporting). </w:t>
      </w:r>
      <w:r>
        <w:rPr>
          <w:sz w:val="21"/>
        </w:rPr>
        <w:t>Whether the entity has drifted from its own past. This front never raises a flag by itself; it corroborates and strengthens a match found by the other two.</w:t>
      </w:r>
    </w:p>
    <w:p>
      <w:pPr>
        <w:spacing w:before="160" w:after="60"/>
      </w:pPr>
      <w:r>
        <w:rPr>
          <w:b/>
          <w:color w:val="C25A12"/>
          <w:sz w:val="24"/>
        </w:rPr>
        <w:t>6.3  Layer 2 — behavioral embeddings, drift, and novelty (discovery)</w:t>
      </w:r>
    </w:p>
    <w:p>
      <w:pPr>
        <w:spacing w:after="120"/>
      </w:pPr>
      <w:r>
        <w:rPr>
          <w:b w:val="0"/>
          <w:i w:val="0"/>
          <w:sz w:val="21"/>
        </w:rPr>
        <w:t>The discovery layer is what makes the precision layer possible — and what protects against attacks the fingerprint library does not yet contain. Each week's measurements are first written out as a structured plain-language description (for example, "30 files, 15% restricted, 8% confidential" rather than just "30 files"), and that description is converted into a high-dimensional numerical vector called an embedding — the same representation that powers large language models. The result is a semantic space: a map of meaning in which behaviors that mean similar things sit near each other even when their raw numbers differ.</w:t>
      </w:r>
    </w:p>
    <w:p>
      <w:pPr>
        <w:spacing w:after="120"/>
      </w:pPr>
      <w:r>
        <w:rPr>
          <w:b w:val="0"/>
          <w:i w:val="0"/>
          <w:sz w:val="21"/>
        </w:rPr>
        <w:t>This matters because raw counts can hide intent. The simulated insider accessed about 30 files per week both before and during the campaign — so on raw counts nothing changed — but week one was public files and week forty was restricted files, and on the map of meaning those weeks sit far apart. Tracking each entity's weekly position produces a trajectory; the trajectory yields drift (the direction and rate of behavioral change) and novelty (a never-before-seen behavior that keeps recurring). Drift is then named against a library of reference threat concepts aligned with MITRE ATT&amp;CK, the industry-standard public catalog of adversary techniques — which is how an alert can say "drifting toward covert beaconing" and attach the matching techniques.</w:t>
      </w:r>
    </w:p>
    <w:p>
      <w:pPr>
        <w:spacing w:after="120"/>
      </w:pPr>
      <w:r>
        <w:rPr>
          <w:b w:val="0"/>
          <w:i w:val="0"/>
          <w:sz w:val="21"/>
        </w:rPr>
        <w:t>The two lenses are complementary, and that is the point. Over the full 70-week campaign, the raw-magnitude lens separates the noisy, high-volume attacks earliest — it lifts the Salt Typhoon campaign clear of the normal band by week 36 — but is slow on the subtle ones. The semantic lens catches the quiet insider 35 weeks sooner (week 4 versus week 39) by reading meaning rather than volume. Neither lens, on its own, ever separates the slow APT — which is exactly why the precision layer's label-free beacon fingerprint (Section 9.3) matters.</w:t>
      </w:r>
    </w:p>
    <w:p>
      <w:pPr>
        <w:spacing w:before="120" w:after="0"/>
        <w:jc w:val="center"/>
      </w:pPr>
      <w:r>
        <w:drawing>
          <wp:inline xmlns:a="http://schemas.openxmlformats.org/drawingml/2006/main" xmlns:pic="http://schemas.openxmlformats.org/drawingml/2006/picture">
            <wp:extent cx="5852160" cy="2469571"/>
            <wp:docPr id="2" name="Picture 2"/>
            <wp:cNvGraphicFramePr>
              <a:graphicFrameLocks noChangeAspect="1"/>
            </wp:cNvGraphicFramePr>
            <a:graphic>
              <a:graphicData uri="http://schemas.openxmlformats.org/drawingml/2006/picture">
                <pic:pic>
                  <pic:nvPicPr>
                    <pic:cNvPr id="0" name="fig_separation.png"/>
                    <pic:cNvPicPr/>
                  </pic:nvPicPr>
                  <pic:blipFill>
                    <a:blip r:embed="rId10"/>
                    <a:stretch>
                      <a:fillRect/>
                    </a:stretch>
                  </pic:blipFill>
                  <pic:spPr>
                    <a:xfrm>
                      <a:off x="0" y="0"/>
                      <a:ext cx="5852160" cy="2469571"/>
                    </a:xfrm>
                    <a:prstGeom prst="rect"/>
                  </pic:spPr>
                </pic:pic>
              </a:graphicData>
            </a:graphic>
          </wp:inline>
        </w:drawing>
      </w:r>
    </w:p>
    <w:p>
      <w:pPr>
        <w:spacing w:after="160"/>
        <w:jc w:val="center"/>
      </w:pPr>
      <w:r>
        <w:rPr>
          <w:i/>
          <w:color w:val="555F6B"/>
          <w:sz w:val="17"/>
        </w:rPr>
        <w:t>Figure 2 — Signal separation, both lenses, over the full 70-week campaign (measured on the enhanced-app data; ★ = first sustained separation from the normal band). Left: the raw-magnitude lens separates the high-volume attacks late (Salt Typhoon wk 36, insider wk 39, LOTL wk 47). Right: the semantic "meaning" lens catches the insider at wk 4 and the LOTL at wk 15 — far sooner — but trails on the volume attack. Each lens wins on different attacks; neither catches the slow APT, which the threat-profile beacon does.</w:t>
      </w:r>
    </w:p>
    <w:p>
      <w:pPr>
        <w:spacing w:after="120"/>
      </w:pPr>
      <w:r>
        <w:rPr>
          <w:b w:val="0"/>
          <w:i w:val="0"/>
          <w:sz w:val="21"/>
        </w:rPr>
        <w:t>The same five behavioral questions the discovery layer asks — how strong the deviation is versus peers, across how many measurements, how sustained, under how many analytical lenses, and how persistent any novel behavior is — also explain why each attacker looks different. No normal user reaches the extremes on several questions at once.</w:t>
      </w:r>
    </w:p>
    <w:p>
      <w:pPr>
        <w:spacing w:before="120" w:after="0"/>
        <w:jc w:val="center"/>
      </w:pPr>
      <w:r>
        <w:drawing>
          <wp:inline xmlns:a="http://schemas.openxmlformats.org/drawingml/2006/main" xmlns:pic="http://schemas.openxmlformats.org/drawingml/2006/picture">
            <wp:extent cx="4937760" cy="4878007"/>
            <wp:docPr id="3" name="Picture 3"/>
            <wp:cNvGraphicFramePr>
              <a:graphicFrameLocks noChangeAspect="1"/>
            </wp:cNvGraphicFramePr>
            <a:graphic>
              <a:graphicData uri="http://schemas.openxmlformats.org/drawingml/2006/picture">
                <pic:pic>
                  <pic:nvPicPr>
                    <pic:cNvPr id="0" name="fig_radar.png"/>
                    <pic:cNvPicPr/>
                  </pic:nvPicPr>
                  <pic:blipFill>
                    <a:blip r:embed="rId11"/>
                    <a:stretch>
                      <a:fillRect/>
                    </a:stretch>
                  </pic:blipFill>
                  <pic:spPr>
                    <a:xfrm>
                      <a:off x="0" y="0"/>
                      <a:ext cx="4937760" cy="4878007"/>
                    </a:xfrm>
                    <a:prstGeom prst="rect"/>
                  </pic:spPr>
                </pic:pic>
              </a:graphicData>
            </a:graphic>
          </wp:inline>
        </w:drawing>
      </w:r>
    </w:p>
    <w:p>
      <w:pPr>
        <w:spacing w:after="160"/>
        <w:jc w:val="center"/>
      </w:pPr>
      <w:r>
        <w:rPr>
          <w:i/>
          <w:color w:val="555F6B"/>
          <w:sz w:val="17"/>
        </w:rPr>
        <w:t>Figure 3 — The discovery layer's five behavioral questions, as a population-scaled profile (measured on the enhanced-app data). Normal users stay a small shape near the center (grey). Each attacker breaks out on a different combination — the slow APT spikes almost only on novelty persistence, the insider dominates signal strength and breadth, Salt Typhoon extends on nearly every question at once. No normal user reaches these extremes on multiple questions simultaneously.</w:t>
      </w:r>
    </w:p>
    <w:p>
      <w:pPr>
        <w:spacing w:before="280" w:after="80"/>
      </w:pPr>
      <w:r>
        <w:rPr>
          <w:b/>
          <w:color w:val="0B1F3A"/>
          <w:sz w:val="30"/>
        </w:rPr>
        <w:t>7.  How It Works — the Five-Step Pipeline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Step</w:t>
            </w:r>
          </w:p>
        </w:tc>
        <w:tc>
          <w:tcPr>
            <w:tcW w:type="dxa" w:w="4464"/>
            <w:shd w:val="clear" w:fill="0B1F3A"/>
          </w:tcPr>
          <w:p>
            <w:pPr>
              <w:spacing w:after="40" w:before="40"/>
            </w:pPr>
            <w:r/>
            <w:r>
              <w:rPr>
                <w:rFonts w:ascii="Calibri" w:hAnsi="Calibri"/>
                <w:b/>
                <w:color w:val="FFFFFF"/>
                <w:sz w:val="19"/>
              </w:rPr>
              <w:t>What happens</w:t>
            </w:r>
          </w:p>
        </w:tc>
        <w:tc>
          <w:tcPr>
            <w:tcW w:type="dxa" w:w="3600"/>
            <w:shd w:val="clear" w:fill="0B1F3A"/>
          </w:tcPr>
          <w:p>
            <w:pPr>
              <w:spacing w:after="40" w:before="40"/>
            </w:pPr>
            <w:r/>
            <w:r>
              <w:rPr>
                <w:rFonts w:ascii="Calibri" w:hAnsi="Calibri"/>
                <w:b/>
                <w:color w:val="FFFFFF"/>
                <w:sz w:val="19"/>
              </w:rPr>
              <w:t>In plain terms</w:t>
            </w:r>
          </w:p>
        </w:tc>
      </w:tr>
      <w:tr>
        <w:tc>
          <w:tcPr>
            <w:tcW w:type="dxa" w:w="1728"/>
            <w:shd w:val="clear" w:fill="F4F6F8"/>
          </w:tcPr>
          <w:p>
            <w:pPr>
              <w:spacing w:after="40" w:before="40"/>
            </w:pPr>
            <w:r/>
            <w:r>
              <w:rPr>
                <w:rFonts w:ascii="Calibri" w:hAnsi="Calibri"/>
                <w:b/>
                <w:sz w:val="19"/>
              </w:rPr>
              <w:t>1.  Profile</w:t>
            </w:r>
          </w:p>
        </w:tc>
        <w:tc>
          <w:tcPr>
            <w:tcW w:type="dxa" w:w="4464"/>
          </w:tcPr>
          <w:p>
            <w:pPr>
              <w:spacing w:after="40" w:before="40"/>
            </w:pPr>
            <w:r/>
            <w:r>
              <w:rPr>
                <w:rFonts w:ascii="Calibri" w:hAnsi="Calibri"/>
                <w:b w:val="0"/>
                <w:sz w:val="19"/>
              </w:rPr>
              <w:t>Distill each week of raw logs into ~two dozen measurements per entity, in five zones.</w:t>
            </w:r>
          </w:p>
        </w:tc>
        <w:tc>
          <w:tcPr>
            <w:tcW w:type="dxa" w:w="3600"/>
          </w:tcPr>
          <w:p>
            <w:pPr>
              <w:spacing w:after="40" w:before="40"/>
            </w:pPr>
            <w:r/>
            <w:r>
              <w:rPr>
                <w:rFonts w:ascii="Calibri" w:hAnsi="Calibri"/>
                <w:b w:val="0"/>
                <w:sz w:val="19"/>
              </w:rPr>
              <w:t>Build the medical chart for every user and system.</w:t>
            </w:r>
          </w:p>
        </w:tc>
      </w:tr>
      <w:tr>
        <w:tc>
          <w:tcPr>
            <w:tcW w:type="dxa" w:w="1728"/>
            <w:shd w:val="clear" w:fill="F4F6F8"/>
          </w:tcPr>
          <w:p>
            <w:pPr>
              <w:spacing w:after="40" w:before="40"/>
            </w:pPr>
            <w:r/>
            <w:r>
              <w:rPr>
                <w:rFonts w:ascii="Calibri" w:hAnsi="Calibri"/>
                <w:b/>
                <w:sz w:val="19"/>
              </w:rPr>
              <w:t>2.  Embed</w:t>
            </w:r>
          </w:p>
        </w:tc>
        <w:tc>
          <w:tcPr>
            <w:tcW w:type="dxa" w:w="4464"/>
          </w:tcPr>
          <w:p>
            <w:pPr>
              <w:spacing w:after="40" w:before="40"/>
            </w:pPr>
            <w:r/>
            <w:r>
              <w:rPr>
                <w:rFonts w:ascii="Calibri" w:hAnsi="Calibri"/>
                <w:b w:val="0"/>
                <w:sz w:val="19"/>
              </w:rPr>
              <w:t>Write the measurements as text and convert to a 1,536-dimension semantic vector (MVP setting).</w:t>
            </w:r>
          </w:p>
        </w:tc>
        <w:tc>
          <w:tcPr>
            <w:tcW w:type="dxa" w:w="3600"/>
          </w:tcPr>
          <w:p>
            <w:pPr>
              <w:spacing w:after="40" w:before="40"/>
            </w:pPr>
            <w:r/>
            <w:r>
              <w:rPr>
                <w:rFonts w:ascii="Calibri" w:hAnsi="Calibri"/>
                <w:b w:val="0"/>
                <w:sz w:val="19"/>
              </w:rPr>
              <w:t>Place each week on a shared "map of meaning."</w:t>
            </w:r>
          </w:p>
        </w:tc>
      </w:tr>
      <w:tr>
        <w:tc>
          <w:tcPr>
            <w:tcW w:type="dxa" w:w="1728"/>
            <w:shd w:val="clear" w:fill="F4F6F8"/>
          </w:tcPr>
          <w:p>
            <w:pPr>
              <w:spacing w:after="40" w:before="40"/>
            </w:pPr>
            <w:r/>
            <w:r>
              <w:rPr>
                <w:rFonts w:ascii="Calibri" w:hAnsi="Calibri"/>
                <w:b/>
                <w:sz w:val="19"/>
              </w:rPr>
              <w:t>3.  Drift &amp; novelty</w:t>
            </w:r>
          </w:p>
        </w:tc>
        <w:tc>
          <w:tcPr>
            <w:tcW w:type="dxa" w:w="4464"/>
          </w:tcPr>
          <w:p>
            <w:pPr>
              <w:spacing w:after="40" w:before="40"/>
            </w:pPr>
            <w:r/>
            <w:r>
              <w:rPr>
                <w:rFonts w:ascii="Calibri" w:hAnsi="Calibri"/>
                <w:b w:val="0"/>
                <w:sz w:val="19"/>
              </w:rPr>
              <w:t>Track each entity's trajectory; accumulate slow change; flag recurring new behavior.</w:t>
            </w:r>
          </w:p>
        </w:tc>
        <w:tc>
          <w:tcPr>
            <w:tcW w:type="dxa" w:w="3600"/>
          </w:tcPr>
          <w:p>
            <w:pPr>
              <w:spacing w:after="40" w:before="40"/>
            </w:pPr>
            <w:r/>
            <w:r>
              <w:rPr>
                <w:rFonts w:ascii="Calibri" w:hAnsi="Calibri"/>
                <w:b w:val="0"/>
                <w:sz w:val="19"/>
              </w:rPr>
              <w:t>Notice where behavior is heading, even when each week looks normal.</w:t>
            </w:r>
          </w:p>
        </w:tc>
      </w:tr>
      <w:tr>
        <w:tc>
          <w:tcPr>
            <w:tcW w:type="dxa" w:w="1728"/>
            <w:shd w:val="clear" w:fill="F4F6F8"/>
          </w:tcPr>
          <w:p>
            <w:pPr>
              <w:spacing w:after="40" w:before="40"/>
            </w:pPr>
            <w:r/>
            <w:r>
              <w:rPr>
                <w:rFonts w:ascii="Calibri" w:hAnsi="Calibri"/>
                <w:b/>
                <w:sz w:val="19"/>
              </w:rPr>
              <w:t>4.  Match profiles</w:t>
            </w:r>
          </w:p>
        </w:tc>
        <w:tc>
          <w:tcPr>
            <w:tcW w:type="dxa" w:w="4464"/>
          </w:tcPr>
          <w:p>
            <w:pPr>
              <w:spacing w:after="40" w:before="40"/>
            </w:pPr>
            <w:r/>
            <w:r>
              <w:rPr>
                <w:rFonts w:ascii="Calibri" w:hAnsi="Calibri"/>
                <w:b w:val="0"/>
                <w:sz w:val="19"/>
              </w:rPr>
              <w:t>Test each entity against the named known-bad fingerprints, cohort-relative and raw-event.</w:t>
            </w:r>
          </w:p>
        </w:tc>
        <w:tc>
          <w:tcPr>
            <w:tcW w:type="dxa" w:w="3600"/>
          </w:tcPr>
          <w:p>
            <w:pPr>
              <w:spacing w:after="40" w:before="40"/>
            </w:pPr>
            <w:r/>
            <w:r>
              <w:rPr>
                <w:rFonts w:ascii="Calibri" w:hAnsi="Calibri"/>
                <w:b w:val="0"/>
                <w:sz w:val="19"/>
              </w:rPr>
              <w:t>Ask: does this match a recognized attack pattern its peers do not show?</w:t>
            </w:r>
          </w:p>
        </w:tc>
      </w:tr>
      <w:tr>
        <w:tc>
          <w:tcPr>
            <w:tcW w:type="dxa" w:w="1728"/>
            <w:shd w:val="clear" w:fill="F4F6F8"/>
          </w:tcPr>
          <w:p>
            <w:pPr>
              <w:spacing w:after="40" w:before="40"/>
            </w:pPr>
            <w:r/>
            <w:r>
              <w:rPr>
                <w:rFonts w:ascii="Calibri" w:hAnsi="Calibri"/>
                <w:b/>
                <w:sz w:val="19"/>
              </w:rPr>
              <w:t>5.  Name &amp; rank</w:t>
            </w:r>
          </w:p>
        </w:tc>
        <w:tc>
          <w:tcPr>
            <w:tcW w:type="dxa" w:w="4464"/>
          </w:tcPr>
          <w:p>
            <w:pPr>
              <w:spacing w:after="40" w:before="40"/>
            </w:pPr>
            <w:r/>
            <w:r>
              <w:rPr>
                <w:rFonts w:ascii="Calibri" w:hAnsi="Calibri"/>
                <w:b w:val="0"/>
                <w:sz w:val="19"/>
              </w:rPr>
              <w:t>Attach the matched profile and ATT&amp;CK technique; return one short, ranked, explained list.</w:t>
            </w:r>
          </w:p>
        </w:tc>
        <w:tc>
          <w:tcPr>
            <w:tcW w:type="dxa" w:w="3600"/>
          </w:tcPr>
          <w:p>
            <w:pPr>
              <w:spacing w:after="40" w:before="40"/>
            </w:pPr>
            <w:r/>
            <w:r>
              <w:rPr>
                <w:rFonts w:ascii="Calibri" w:hAnsi="Calibri"/>
                <w:b w:val="0"/>
                <w:sz w:val="19"/>
              </w:rPr>
              <w:t>Hand the analyst leads, not raw alerts.</w:t>
            </w:r>
          </w:p>
        </w:tc>
      </w:tr>
    </w:tbl>
    <w:p>
      <w:pPr>
        <w:spacing w:after="40"/>
      </w:pPr>
    </w:p>
    <w:p>
      <w:pPr>
        <w:spacing w:before="280" w:after="80"/>
      </w:pPr>
      <w:r>
        <w:rPr>
          <w:b/>
          <w:color w:val="0B1F3A"/>
          <w:sz w:val="30"/>
        </w:rPr>
        <w:t>8.  What "Cohort", "Drift", "Novelty", and "Profile" Mean —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Term</w:t>
            </w:r>
          </w:p>
        </w:tc>
        <w:tc>
          <w:tcPr>
            <w:tcW w:type="dxa" w:w="3888"/>
            <w:shd w:val="clear" w:fill="0B1F3A"/>
          </w:tcPr>
          <w:p>
            <w:pPr>
              <w:spacing w:after="40" w:before="40"/>
            </w:pPr>
            <w:r/>
            <w:r>
              <w:rPr>
                <w:rFonts w:ascii="Calibri" w:hAnsi="Calibri"/>
                <w:b/>
                <w:color w:val="FFFFFF"/>
                <w:sz w:val="19"/>
              </w:rPr>
              <w:t>Plain meaning</w:t>
            </w:r>
          </w:p>
        </w:tc>
        <w:tc>
          <w:tcPr>
            <w:tcW w:type="dxa" w:w="3888"/>
            <w:shd w:val="clear" w:fill="0B1F3A"/>
          </w:tcPr>
          <w:p>
            <w:pPr>
              <w:spacing w:after="40" w:before="40"/>
            </w:pPr>
            <w:r/>
            <w:r>
              <w:rPr>
                <w:rFonts w:ascii="Calibri" w:hAnsi="Calibri"/>
                <w:b/>
                <w:color w:val="FFFFFF"/>
                <w:sz w:val="19"/>
              </w:rPr>
              <w:t>Why it matters here</w:t>
            </w:r>
          </w:p>
        </w:tc>
      </w:tr>
      <w:tr>
        <w:tc>
          <w:tcPr>
            <w:tcW w:type="dxa" w:w="2160"/>
            <w:shd w:val="clear" w:fill="F4F6F8"/>
          </w:tcPr>
          <w:p>
            <w:pPr>
              <w:spacing w:after="40" w:before="40"/>
            </w:pPr>
            <w:r/>
            <w:r>
              <w:rPr>
                <w:rFonts w:ascii="Calibri" w:hAnsi="Calibri"/>
                <w:b/>
                <w:sz w:val="19"/>
              </w:rPr>
              <w:t>Cohort</w:t>
            </w:r>
          </w:p>
        </w:tc>
        <w:tc>
          <w:tcPr>
            <w:tcW w:type="dxa" w:w="3888"/>
          </w:tcPr>
          <w:p>
            <w:pPr>
              <w:spacing w:after="40" w:before="40"/>
            </w:pPr>
            <w:r/>
            <w:r>
              <w:rPr>
                <w:rFonts w:ascii="Calibri" w:hAnsi="Calibri"/>
                <w:b w:val="0"/>
                <w:sz w:val="19"/>
              </w:rPr>
              <w:t>An entity's peer group — people in the same role (developers, security staff, business users).</w:t>
            </w:r>
          </w:p>
        </w:tc>
        <w:tc>
          <w:tcPr>
            <w:tcW w:type="dxa" w:w="3888"/>
          </w:tcPr>
          <w:p>
            <w:pPr>
              <w:spacing w:after="40" w:before="40"/>
            </w:pPr>
            <w:r/>
            <w:r>
              <w:rPr>
                <w:rFonts w:ascii="Calibri" w:hAnsi="Calibri"/>
                <w:b w:val="0"/>
                <w:sz w:val="19"/>
              </w:rPr>
              <w:t>Behavior is judged against peers, so "normal for a developer" is not confused with "normal for an executive."</w:t>
            </w:r>
          </w:p>
        </w:tc>
      </w:tr>
      <w:tr>
        <w:tc>
          <w:tcPr>
            <w:tcW w:type="dxa" w:w="2160"/>
            <w:shd w:val="clear" w:fill="F4F6F8"/>
          </w:tcPr>
          <w:p>
            <w:pPr>
              <w:spacing w:after="40" w:before="40"/>
            </w:pPr>
            <w:r/>
            <w:r>
              <w:rPr>
                <w:rFonts w:ascii="Calibri" w:hAnsi="Calibri"/>
                <w:b/>
                <w:sz w:val="19"/>
              </w:rPr>
              <w:t>Drift</w:t>
            </w:r>
          </w:p>
        </w:tc>
        <w:tc>
          <w:tcPr>
            <w:tcW w:type="dxa" w:w="3888"/>
          </w:tcPr>
          <w:p>
            <w:pPr>
              <w:spacing w:after="40" w:before="40"/>
            </w:pPr>
            <w:r/>
            <w:r>
              <w:rPr>
                <w:rFonts w:ascii="Calibri" w:hAnsi="Calibri"/>
                <w:b w:val="0"/>
                <w:sz w:val="19"/>
              </w:rPr>
              <w:t>The direction and speed an entity's behavior is trending over weeks.</w:t>
            </w:r>
          </w:p>
        </w:tc>
        <w:tc>
          <w:tcPr>
            <w:tcW w:type="dxa" w:w="3888"/>
          </w:tcPr>
          <w:p>
            <w:pPr>
              <w:spacing w:after="40" w:before="40"/>
            </w:pPr>
            <w:r/>
            <w:r>
              <w:rPr>
                <w:rFonts w:ascii="Calibri" w:hAnsi="Calibri"/>
                <w:b w:val="0"/>
                <w:sz w:val="19"/>
              </w:rPr>
              <w:t>Catches "slow and low" change that no single week reveals.</w:t>
            </w:r>
          </w:p>
        </w:tc>
      </w:tr>
      <w:tr>
        <w:tc>
          <w:tcPr>
            <w:tcW w:type="dxa" w:w="2160"/>
            <w:shd w:val="clear" w:fill="F4F6F8"/>
          </w:tcPr>
          <w:p>
            <w:pPr>
              <w:spacing w:after="40" w:before="40"/>
            </w:pPr>
            <w:r/>
            <w:r>
              <w:rPr>
                <w:rFonts w:ascii="Calibri" w:hAnsi="Calibri"/>
                <w:b/>
                <w:sz w:val="19"/>
              </w:rPr>
              <w:t>Novelty</w:t>
            </w:r>
          </w:p>
        </w:tc>
        <w:tc>
          <w:tcPr>
            <w:tcW w:type="dxa" w:w="3888"/>
          </w:tcPr>
          <w:p>
            <w:pPr>
              <w:spacing w:after="40" w:before="40"/>
            </w:pPr>
            <w:r/>
            <w:r>
              <w:rPr>
                <w:rFonts w:ascii="Calibri" w:hAnsi="Calibri"/>
                <w:b w:val="0"/>
                <w:sz w:val="19"/>
              </w:rPr>
              <w:t>A never-before-seen behavior that then keeps recurring (e.g., a new external contact every week).</w:t>
            </w:r>
          </w:p>
        </w:tc>
        <w:tc>
          <w:tcPr>
            <w:tcW w:type="dxa" w:w="3888"/>
          </w:tcPr>
          <w:p>
            <w:pPr>
              <w:spacing w:after="40" w:before="40"/>
            </w:pPr>
            <w:r/>
            <w:r>
              <w:rPr>
                <w:rFonts w:ascii="Calibri" w:hAnsi="Calibri"/>
                <w:b w:val="0"/>
                <w:sz w:val="19"/>
              </w:rPr>
              <w:t>The fingerprint of covert command-and-control infrastructure.</w:t>
            </w:r>
          </w:p>
        </w:tc>
      </w:tr>
      <w:tr>
        <w:tc>
          <w:tcPr>
            <w:tcW w:type="dxa" w:w="2160"/>
            <w:shd w:val="clear" w:fill="F4F6F8"/>
          </w:tcPr>
          <w:p>
            <w:pPr>
              <w:spacing w:after="40" w:before="40"/>
            </w:pPr>
            <w:r/>
            <w:r>
              <w:rPr>
                <w:rFonts w:ascii="Calibri" w:hAnsi="Calibri"/>
                <w:b/>
                <w:sz w:val="19"/>
              </w:rPr>
              <w:t>Profile (fingerprint)</w:t>
            </w:r>
          </w:p>
        </w:tc>
        <w:tc>
          <w:tcPr>
            <w:tcW w:type="dxa" w:w="3888"/>
          </w:tcPr>
          <w:p>
            <w:pPr>
              <w:spacing w:after="40" w:before="40"/>
            </w:pPr>
            <w:r/>
            <w:r>
              <w:rPr>
                <w:rFonts w:ascii="Calibri" w:hAnsi="Calibri"/>
                <w:b w:val="0"/>
                <w:sz w:val="19"/>
              </w:rPr>
              <w:t>A named, measurable description of how a known attack technique shows up in behavior.</w:t>
            </w:r>
          </w:p>
        </w:tc>
        <w:tc>
          <w:tcPr>
            <w:tcW w:type="dxa" w:w="3888"/>
          </w:tcPr>
          <w:p>
            <w:pPr>
              <w:spacing w:after="40" w:before="40"/>
            </w:pPr>
            <w:r/>
            <w:r>
              <w:rPr>
                <w:rFonts w:ascii="Calibri" w:hAnsi="Calibri"/>
                <w:b w:val="0"/>
                <w:sz w:val="19"/>
              </w:rPr>
              <w:t>A match is precise and self-explaining — "recon fan-out," not just "anomaly."</w:t>
            </w:r>
          </w:p>
        </w:tc>
      </w:tr>
      <w:tr>
        <w:tc>
          <w:tcPr>
            <w:tcW w:type="dxa" w:w="2160"/>
            <w:shd w:val="clear" w:fill="F4F6F8"/>
          </w:tcPr>
          <w:p>
            <w:pPr>
              <w:spacing w:after="40" w:before="40"/>
            </w:pPr>
            <w:r/>
            <w:r>
              <w:rPr>
                <w:rFonts w:ascii="Calibri" w:hAnsi="Calibri"/>
                <w:b/>
                <w:sz w:val="19"/>
              </w:rPr>
              <w:t>Cohort-relative z</w:t>
            </w:r>
          </w:p>
        </w:tc>
        <w:tc>
          <w:tcPr>
            <w:tcW w:type="dxa" w:w="3888"/>
          </w:tcPr>
          <w:p>
            <w:pPr>
              <w:spacing w:after="40" w:before="40"/>
            </w:pPr>
            <w:r/>
            <w:r>
              <w:rPr>
                <w:rFonts w:ascii="Calibri" w:hAnsi="Calibri"/>
                <w:b w:val="0"/>
                <w:sz w:val="19"/>
              </w:rPr>
              <w:t>How far an entity sits from its peers, on a robust scale that ignores normal spread.</w:t>
            </w:r>
          </w:p>
        </w:tc>
        <w:tc>
          <w:tcPr>
            <w:tcW w:type="dxa" w:w="3888"/>
          </w:tcPr>
          <w:p>
            <w:pPr>
              <w:spacing w:after="40" w:before="40"/>
            </w:pPr>
            <w:r/>
            <w:r>
              <w:rPr>
                <w:rFonts w:ascii="Calibri" w:hAnsi="Calibri"/>
                <w:b w:val="0"/>
                <w:sz w:val="19"/>
              </w:rPr>
              <w:t>Lets a profile fire only on genuine peer-relative extremes, keeping false positives low.</w:t>
            </w:r>
          </w:p>
        </w:tc>
      </w:tr>
    </w:tbl>
    <w:p>
      <w:pPr>
        <w:spacing w:after="40"/>
      </w:pPr>
    </w:p>
    <w:p>
      <w:pPr>
        <w:spacing w:before="280" w:after="80"/>
      </w:pPr>
      <w:r>
        <w:rPr>
          <w:b/>
          <w:color w:val="0B1F3A"/>
          <w:sz w:val="30"/>
        </w:rPr>
        <w:t>9.  What the Evidence Shows (Synthetic Data)</w:t>
      </w:r>
    </w:p>
    <w:p>
      <w:pPr>
        <w:spacing w:before="160" w:after="60"/>
      </w:pPr>
      <w:r>
        <w:rPr>
          <w:b/>
          <w:color w:val="C25A12"/>
          <w:sz w:val="24"/>
        </w:rPr>
        <w:t>9.1  The scoreboard</w:t>
      </w:r>
    </w:p>
    <w:p>
      <w:pPr>
        <w:spacing w:after="120"/>
      </w:pPr>
      <w:r>
        <w:rPr>
          <w:b w:val="0"/>
          <w:i w:val="0"/>
          <w:sz w:val="21"/>
        </w:rPr>
        <w:t>Four industry-standard anomaly detectors (Z-Score statistics, Isolation Forest, Local Outlier Factor, and One-Class SVM, or Support Vector Machine) were run against the full 250-user population alongside the two V-Intelligence layers.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gets</w:t>
            </w:r>
          </w:p>
        </w:tc>
      </w:tr>
      <w:tr>
        <w:tc>
          <w:tcPr>
            <w:tcW w:type="dxa" w:w="2736"/>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736"/>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736"/>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736"/>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LOTL campaign, barely over the line); the other three never cross it.</w:t>
            </w:r>
          </w:p>
        </w:tc>
      </w:tr>
      <w:tr>
        <w:tc>
          <w:tcPr>
            <w:tcW w:type="dxa" w:w="2736"/>
            <w:shd w:val="clear" w:fill="F4F6F8"/>
          </w:tcPr>
          <w:p>
            <w:pPr>
              <w:spacing w:after="40" w:before="40"/>
            </w:pPr>
            <w:r/>
            <w:r>
              <w:rPr>
                <w:rFonts w:ascii="Calibri" w:hAnsi="Calibri"/>
                <w:b/>
                <w:sz w:val="19"/>
              </w:rPr>
              <w:t>Semantic layer (on its own)</w:t>
            </w:r>
          </w:p>
        </w:tc>
        <w:tc>
          <w:tcPr>
            <w:tcW w:type="dxa" w:w="1728"/>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w:t>
            </w:r>
          </w:p>
        </w:tc>
        <w:tc>
          <w:tcPr>
            <w:tcW w:type="dxa" w:w="4032"/>
          </w:tcPr>
          <w:p>
            <w:pPr>
              <w:spacing w:after="40" w:before="40"/>
            </w:pPr>
            <w:r/>
            <w:r>
              <w:rPr>
                <w:rFonts w:ascii="Calibri" w:hAnsi="Calibri"/>
                <w:b w:val="0"/>
                <w:sz w:val="19"/>
              </w:rPr>
              <w:t>Discovery layer: cleanly separates the insider and Salt Typhoon, and explains the direction of all four.</w:t>
            </w:r>
          </w:p>
        </w:tc>
      </w:tr>
      <w:tr>
        <w:tc>
          <w:tcPr>
            <w:tcW w:type="dxa" w:w="2736"/>
            <w:shd w:val="clear" w:fill="F4F6F8"/>
          </w:tcPr>
          <w:p>
            <w:pPr>
              <w:spacing w:after="40" w:before="40"/>
            </w:pPr>
            <w:r/>
            <w:r>
              <w:rPr>
                <w:rFonts w:ascii="Calibri" w:hAnsi="Calibri"/>
                <w:b/>
                <w:sz w:val="19"/>
              </w:rPr>
              <w:t>Multi-front Threat-Profile</w:t>
            </w:r>
          </w:p>
        </w:tc>
        <w:tc>
          <w:tcPr>
            <w:tcW w:type="dxa" w:w="1728"/>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40"/>
      </w:pPr>
    </w:p>
    <w:p>
      <w:pPr>
        <w:spacing w:after="120"/>
      </w:pPr>
      <w:r>
        <w:rPr>
          <w:b/>
          <w:i w:val="0"/>
          <w:sz w:val="21"/>
        </w:rPr>
        <w:t>Stated precisely: the best traditional method catches 1 of 4, and its single detection is a context-free spike. The threat-profile detector catches all four — each matched to a named, measurable fingerprint — at zero false positives, while the semantic layer supplies the explanation and the unsupervised net for novel attacks. The result is not an alert but an investigation lead with the "why" already attached.</w:t>
      </w:r>
    </w:p>
    <w:p>
      <w:pPr>
        <w:spacing w:before="120" w:after="0"/>
        <w:jc w:val="center"/>
      </w:pPr>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_scoreboard.png"/>
                    <pic:cNvPicPr/>
                  </pic:nvPicPr>
                  <pic:blipFill>
                    <a:blip r:embed="rId12"/>
                    <a:stretch>
                      <a:fillRect/>
                    </a:stretch>
                  </pic:blipFill>
                  <pic:spPr>
                    <a:xfrm>
                      <a:off x="0" y="0"/>
                      <a:ext cx="5852160" cy="2519680"/>
                    </a:xfrm>
                    <a:prstGeom prst="rect"/>
                  </pic:spPr>
                </pic:pic>
              </a:graphicData>
            </a:graphic>
          </wp:inline>
        </w:drawing>
      </w:r>
    </w:p>
    <w:p>
      <w:pPr>
        <w:spacing w:after="160"/>
        <w:jc w:val="center"/>
      </w:pPr>
      <w:r>
        <w:rPr>
          <w:i/>
          <w:color w:val="555F6B"/>
          <w:sz w:val="17"/>
        </w:rPr>
        <w:t>Figure 4 — The detection scoreboard across 250 users with four embedded campaigns (measured, synthetic data). Traditional methods catch at most 1 of 4; the semantic layer separates 2 of 4 on its own; the multi-front threat-profile detector catches 4 of 4 at zero false positives, each detection named.</w:t>
      </w:r>
    </w:p>
    <w:p>
      <w:pPr>
        <w:spacing w:before="160" w:after="60"/>
      </w:pPr>
      <w:r>
        <w:rPr>
          <w:b/>
          <w:color w:val="C25A12"/>
          <w:sz w:val="24"/>
        </w:rPr>
        <w:t>9.2  Four attacks, four named fingerprints</w:t>
      </w:r>
    </w:p>
    <w:p>
      <w:pPr>
        <w:spacing w:after="120"/>
      </w:pPr>
      <w:r>
        <w:rPr>
          <w:b w:val="0"/>
          <w:i w:val="0"/>
          <w:sz w:val="21"/>
        </w:rPr>
        <w:t>Each campaign matched a different combination of profiles — empirical proof that no single detector would have sufficed, and that a flag here is a specific, explainable accusation rather than a statistical shrug.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Attack (user)</w:t>
            </w:r>
          </w:p>
        </w:tc>
        <w:tc>
          <w:tcPr>
            <w:tcW w:type="dxa" w:w="1440"/>
            <w:shd w:val="clear" w:fill="0B1F3A"/>
          </w:tcPr>
          <w:p>
            <w:pPr>
              <w:spacing w:after="40" w:before="40"/>
            </w:pPr>
            <w:r/>
            <w:r>
              <w:rPr>
                <w:rFonts w:ascii="Calibri" w:hAnsi="Calibri"/>
                <w:b/>
                <w:color w:val="FFFFFF"/>
                <w:sz w:val="19"/>
              </w:rPr>
              <w:t>Cohort</w:t>
            </w:r>
          </w:p>
        </w:tc>
        <w:tc>
          <w:tcPr>
            <w:tcW w:type="dxa" w:w="5040"/>
            <w:shd w:val="clear" w:fill="0B1F3A"/>
          </w:tcPr>
          <w:p>
            <w:pPr>
              <w:spacing w:after="40" w:before="40"/>
            </w:pPr>
            <w:r/>
            <w:r>
              <w:rPr>
                <w:rFonts w:ascii="Calibri" w:hAnsi="Calibri"/>
                <w:b/>
                <w:color w:val="FFFFFF"/>
                <w:sz w:val="19"/>
              </w:rPr>
              <w:t>Named profile match</w:t>
            </w:r>
          </w:p>
        </w:tc>
        <w:tc>
          <w:tcPr>
            <w:tcW w:type="dxa" w:w="1296"/>
            <w:shd w:val="clear" w:fill="0B1F3A"/>
          </w:tcPr>
          <w:p>
            <w:pPr>
              <w:spacing w:after="40" w:before="40"/>
            </w:pPr>
            <w:r/>
            <w:r>
              <w:rPr>
                <w:rFonts w:ascii="Calibri" w:hAnsi="Calibri"/>
                <w:b/>
                <w:color w:val="FFFFFF"/>
                <w:sz w:val="19"/>
              </w:rPr>
              <w:t>How many fronts</w:t>
            </w:r>
          </w:p>
        </w:tc>
      </w:tr>
      <w:tr>
        <w:tc>
          <w:tcPr>
            <w:tcW w:type="dxa" w:w="2448"/>
            <w:shd w:val="clear" w:fill="F4F6F8"/>
          </w:tcPr>
          <w:p>
            <w:pPr>
              <w:spacing w:after="40" w:before="40"/>
            </w:pPr>
            <w:r/>
            <w:r>
              <w:rPr>
                <w:rFonts w:ascii="Calibri" w:hAnsi="Calibri"/>
                <w:b/>
                <w:sz w:val="19"/>
              </w:rPr>
              <w:t>Insider (USR-156)</w:t>
            </w:r>
          </w:p>
        </w:tc>
        <w:tc>
          <w:tcPr>
            <w:tcW w:type="dxa" w:w="1440"/>
          </w:tcPr>
          <w:p>
            <w:pPr>
              <w:spacing w:after="40" w:before="40"/>
            </w:pPr>
            <w:r/>
            <w:r>
              <w:rPr>
                <w:rFonts w:ascii="Calibri" w:hAnsi="Calibri"/>
                <w:b w:val="0"/>
                <w:sz w:val="19"/>
              </w:rPr>
              <w:t>Business</w:t>
            </w:r>
          </w:p>
        </w:tc>
        <w:tc>
          <w:tcPr>
            <w:tcW w:type="dxa" w:w="5040"/>
          </w:tcPr>
          <w:p>
            <w:pPr>
              <w:spacing w:after="40" w:before="40"/>
            </w:pPr>
            <w:r/>
            <w:r>
              <w:rPr>
                <w:rFonts w:ascii="Calibri" w:hAnsi="Calibri"/>
                <w:b w:val="0"/>
                <w:sz w:val="19"/>
              </w:rPr>
              <w:t>mass_collection (peer-z 5.9) + cohort_rare_dst (76 rare external IPs)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Slow APT (USR-234)</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c2_beacon (386-day persistent, robotic rhythm) + dga_dns (160 generated domains)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LOTL / Volt Typhoon (USR-042)</w:t>
            </w:r>
          </w:p>
        </w:tc>
        <w:tc>
          <w:tcPr>
            <w:tcW w:type="dxa" w:w="1440"/>
          </w:tcPr>
          <w:p>
            <w:pPr>
              <w:spacing w:after="40" w:before="40"/>
            </w:pPr>
            <w:r/>
            <w:r>
              <w:rPr>
                <w:rFonts w:ascii="Calibri" w:hAnsi="Calibri"/>
                <w:b w:val="0"/>
                <w:sz w:val="19"/>
              </w:rPr>
              <w:t>Security</w:t>
            </w:r>
          </w:p>
        </w:tc>
        <w:tc>
          <w:tcPr>
            <w:tcW w:type="dxa" w:w="5040"/>
          </w:tcPr>
          <w:p>
            <w:pPr>
              <w:spacing w:after="40" w:before="40"/>
            </w:pPr>
            <w:r/>
            <w:r>
              <w:rPr>
                <w:rFonts w:ascii="Calibri" w:hAnsi="Calibri"/>
                <w:b w:val="0"/>
                <w:sz w:val="19"/>
              </w:rPr>
              <w:t>lotl_process (peer-z 4.5 — unusual admin-tool breadth)</w:t>
            </w:r>
          </w:p>
        </w:tc>
        <w:tc>
          <w:tcPr>
            <w:tcW w:type="dxa" w:w="1296"/>
          </w:tcPr>
          <w:p>
            <w:pPr>
              <w:spacing w:after="40" w:before="40"/>
            </w:pPr>
            <w:r/>
            <w:r>
              <w:rPr>
                <w:rFonts w:ascii="Calibri" w:hAnsi="Calibri"/>
                <w:b w:val="0"/>
                <w:sz w:val="19"/>
              </w:rPr>
              <w:t>1 front</w:t>
            </w:r>
          </w:p>
        </w:tc>
      </w:tr>
      <w:tr>
        <w:tc>
          <w:tcPr>
            <w:tcW w:type="dxa" w:w="2448"/>
            <w:shd w:val="clear" w:fill="F4F6F8"/>
          </w:tcPr>
          <w:p>
            <w:pPr>
              <w:spacing w:after="40" w:before="40"/>
            </w:pPr>
            <w:r/>
            <w:r>
              <w:rPr>
                <w:rFonts w:ascii="Calibri" w:hAnsi="Calibri"/>
                <w:b/>
                <w:sz w:val="19"/>
              </w:rPr>
              <w:t>Salt Typhoon (USR-118)</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recon_fanout (peer-z 8.2 — network-destination fan-out)</w:t>
            </w:r>
          </w:p>
        </w:tc>
        <w:tc>
          <w:tcPr>
            <w:tcW w:type="dxa" w:w="1296"/>
          </w:tcPr>
          <w:p>
            <w:pPr>
              <w:spacing w:after="40" w:before="40"/>
            </w:pPr>
            <w:r/>
            <w:r>
              <w:rPr>
                <w:rFonts w:ascii="Calibri" w:hAnsi="Calibri"/>
                <w:b w:val="0"/>
                <w:sz w:val="19"/>
              </w:rPr>
              <w:t>1 front</w:t>
            </w:r>
          </w:p>
        </w:tc>
      </w:tr>
    </w:tbl>
    <w:p>
      <w:pPr>
        <w:spacing w:after="40"/>
      </w:pPr>
    </w:p>
    <w:p>
      <w:pPr>
        <w:spacing w:before="120" w:after="0"/>
        <w:jc w:val="center"/>
      </w:pPr>
      <w:r>
        <w:drawing>
          <wp:inline xmlns:a="http://schemas.openxmlformats.org/drawingml/2006/main" xmlns:pic="http://schemas.openxmlformats.org/drawingml/2006/picture">
            <wp:extent cx="5852160" cy="2438400"/>
            <wp:docPr id="5" name="Picture 5"/>
            <wp:cNvGraphicFramePr>
              <a:graphicFrameLocks noChangeAspect="1"/>
            </wp:cNvGraphicFramePr>
            <a:graphic>
              <a:graphicData uri="http://schemas.openxmlformats.org/drawingml/2006/picture">
                <pic:pic>
                  <pic:nvPicPr>
                    <pic:cNvPr id="0" name="fig_fingerprint.png"/>
                    <pic:cNvPicPr/>
                  </pic:nvPicPr>
                  <pic:blipFill>
                    <a:blip r:embed="rId13"/>
                    <a:stretch>
                      <a:fillRect/>
                    </a:stretch>
                  </pic:blipFill>
                  <pic:spPr>
                    <a:xfrm>
                      <a:off x="0" y="0"/>
                      <a:ext cx="5852160" cy="2438400"/>
                    </a:xfrm>
                    <a:prstGeom prst="rect"/>
                  </pic:spPr>
                </pic:pic>
              </a:graphicData>
            </a:graphic>
          </wp:inline>
        </w:drawing>
      </w:r>
    </w:p>
    <w:p>
      <w:pPr>
        <w:spacing w:after="160"/>
        <w:jc w:val="center"/>
      </w:pPr>
      <w:r>
        <w:rPr>
          <w:i/>
          <w:color w:val="555F6B"/>
          <w:sz w:val="17"/>
        </w:rPr>
        <w:t>Figure 5 — The four named-profile matches (measured, synthetic data). Left: cohort-relative profiles fire only when an entity's peer-relative deviation clears the flag line (4.5). Right: raw-event profiles are read straight from the logs — the slow APT's persistent beacon (386 days) and generated domains (160), and the insider's rare-IP fan-out (76).</w:t>
      </w:r>
    </w:p>
    <w:p>
      <w:pPr>
        <w:spacing w:before="160" w:after="60"/>
      </w:pPr>
      <w:r>
        <w:rPr>
          <w:b/>
          <w:color w:val="C25A12"/>
          <w:sz w:val="24"/>
        </w:rPr>
        <w:t>9.3  Case study: the attack that was "undetectable"</w:t>
      </w:r>
    </w:p>
    <w:p>
      <w:pPr>
        <w:spacing w:after="120"/>
      </w:pPr>
      <w:r>
        <w:rPr>
          <w:b w:val="0"/>
          <w:i w:val="0"/>
          <w:sz w:val="21"/>
        </w:rPr>
        <w:t>The slow APT (USR-234) is the hardest detection problem in the study. For 417 days its implant called home roughly every several hours, and its total traffic, lookups, and sign-ins all stayed within normal ranges. On every magnitude-based method its scores are negligible — it is invisible to thresholds and to statistics alike. Yet the threat-profile detector matched it on two independent raw-event fingerprints, with no labels and no thresholds crossed.</w:t>
      </w:r>
    </w:p>
    <w:p>
      <w:pPr>
        <w:pStyle w:val="ListBullet"/>
        <w:spacing w:after="60"/>
      </w:pPr>
      <w:r>
        <w:rPr>
          <w:b/>
          <w:sz w:val="21"/>
        </w:rPr>
        <w:t xml:space="preserve">C2 beacon. </w:t>
      </w:r>
      <w:r>
        <w:rPr>
          <w:sz w:val="21"/>
        </w:rPr>
        <w:t>Among all of this user's external contacts, one destination was contacted persistently — on 386 distinct days — and, crucially, with a robotic, evenly spaced rhythm. Legitimate persistent services (software updates, cloud sync)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 high-randomness names sharing back-end infrastructure —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6" name="Picture 6"/>
            <wp:cNvGraphicFramePr>
              <a:graphicFrameLocks noChangeAspect="1"/>
            </wp:cNvGraphicFramePr>
            <a:graphic>
              <a:graphicData uri="http://schemas.openxmlformats.org/drawingml/2006/picture">
                <pic:pic>
                  <pic:nvPicPr>
                    <pic:cNvPr id="0" name="fig_beacon.png"/>
                    <pic:cNvPicPr/>
                  </pic:nvPicPr>
                  <pic:blipFill>
                    <a:blip r:embed="rId14"/>
                    <a:stretch>
                      <a:fillRect/>
                    </a:stretch>
                  </pic:blipFill>
                  <pic:spPr>
                    <a:xfrm>
                      <a:off x="0" y="0"/>
                      <a:ext cx="5852160" cy="2357120"/>
                    </a:xfrm>
                    <a:prstGeom prst="rect"/>
                  </pic:spPr>
                </pic:pic>
              </a:graphicData>
            </a:graphic>
          </wp:inline>
        </w:drawing>
      </w:r>
    </w:p>
    <w:p>
      <w:pPr>
        <w:spacing w:after="160"/>
        <w:jc w:val="center"/>
      </w:pPr>
      <w:r>
        <w:rPr>
          <w:i/>
          <w:color w:val="555F6B"/>
          <w:sz w:val="17"/>
        </w:rPr>
        <w:t>Figure 6 — Label-free beacon detection (illustrative, modeled on the simulated slow-APT campaign). Left: the attacker's call-outs are evenly spaced; a legitimate service is bursty. Right: the rhythm-irregularity measure (coefficient of variation of the gaps) — below the flag line means machine-like, the fingerprint of a covert beacon. The detector reads the rhythm, not the address, so it generalizes to infrastructure it has never seen.</w:t>
      </w:r>
    </w:p>
    <w:p>
      <w:pPr>
        <w:spacing w:before="160" w:after="60"/>
      </w:pPr>
      <w:r>
        <w:rPr>
          <w:b/>
          <w:color w:val="C25A12"/>
          <w:sz w:val="24"/>
        </w:rPr>
        <w:t>9.4  Zero false positives, and what that costs</w:t>
      </w:r>
    </w:p>
    <w:p>
      <w:pPr>
        <w:spacing w:after="120"/>
      </w:pPr>
      <w:r>
        <w:rPr>
          <w:b w:val="0"/>
          <w:i w:val="0"/>
          <w:sz w:val="21"/>
        </w:rPr>
        <w:t>At the operating point that matches all four attackers, no normal user was flagged. This is the direct payoff of the named-profile design: because a flag requires matching a specific known-bad fingerprint — and, for cohort-relative profiles, a jointly elevated combination against peers — ordinary high-activity users do not trip it. Two honest caveats apply. First, a fingerprint library only catches techniques it describes; the discovery layer (Section 6.3) is the net for novel attacks, and it is noisier by design. Second, these are synthetic results, and a real environment will produce some false positives that must be measured and tuned. The relevant point is the structure: precise, named, peer-relative matching is what drives the false-positive count down without sacrificing detection.</w:t>
      </w:r>
    </w:p>
    <w:p>
      <w:pPr>
        <w:spacing w:before="280" w:after="80"/>
      </w:pPr>
      <w:r>
        <w:rPr>
          <w:b/>
          <w:color w:val="0B1F3A"/>
          <w:sz w:val="30"/>
        </w:rPr>
        <w:t>10.  Phased Engagement — Validate on Real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0B1F3A"/>
          </w:tcPr>
          <w:p>
            <w:pPr>
              <w:spacing w:after="40" w:before="40"/>
            </w:pPr>
            <w:r/>
            <w:r>
              <w:rPr>
                <w:rFonts w:ascii="Calibri" w:hAnsi="Calibri"/>
                <w:b/>
                <w:color w:val="FFFFFF"/>
                <w:sz w:val="19"/>
              </w:rPr>
              <w:t>Phase</w:t>
            </w:r>
          </w:p>
        </w:tc>
        <w:tc>
          <w:tcPr>
            <w:tcW w:type="dxa" w:w="1440"/>
            <w:shd w:val="clear" w:fill="0B1F3A"/>
          </w:tcPr>
          <w:p>
            <w:pPr>
              <w:spacing w:after="40" w:before="40"/>
            </w:pPr>
            <w:r/>
            <w:r>
              <w:rPr>
                <w:rFonts w:ascii="Calibri" w:hAnsi="Calibri"/>
                <w:b/>
                <w:color w:val="FFFFFF"/>
                <w:sz w:val="19"/>
              </w:rPr>
              <w:t>Duration</w:t>
            </w:r>
          </w:p>
        </w:tc>
        <w:tc>
          <w:tcPr>
            <w:tcW w:type="dxa" w:w="4320"/>
            <w:shd w:val="clear" w:fill="0B1F3A"/>
          </w:tcPr>
          <w:p>
            <w:pPr>
              <w:spacing w:after="40" w:before="40"/>
            </w:pPr>
            <w:r/>
            <w:r>
              <w:rPr>
                <w:rFonts w:ascii="Calibri" w:hAnsi="Calibri"/>
                <w:b/>
                <w:color w:val="FFFFFF"/>
                <w:sz w:val="19"/>
              </w:rPr>
              <w:t>What happens</w:t>
            </w:r>
          </w:p>
        </w:tc>
        <w:tc>
          <w:tcPr>
            <w:tcW w:type="dxa" w:w="2448"/>
            <w:shd w:val="clear" w:fill="0B1F3A"/>
          </w:tcPr>
          <w:p>
            <w:pPr>
              <w:spacing w:after="40" w:before="40"/>
            </w:pPr>
            <w:r/>
            <w:r>
              <w:rPr>
                <w:rFonts w:ascii="Calibri" w:hAnsi="Calibri"/>
                <w:b/>
                <w:color w:val="FFFFFF"/>
                <w:sz w:val="19"/>
              </w:rPr>
              <w:t>Exit criterion</w:t>
            </w:r>
          </w:p>
        </w:tc>
      </w:tr>
      <w:tr>
        <w:tc>
          <w:tcPr>
            <w:tcW w:type="dxa" w:w="1872"/>
            <w:shd w:val="clear" w:fill="F4F6F8"/>
          </w:tcPr>
          <w:p>
            <w:pPr>
              <w:spacing w:after="40" w:before="40"/>
            </w:pPr>
            <w:r/>
            <w:r>
              <w:rPr>
                <w:rFonts w:ascii="Calibri" w:hAnsi="Calibri"/>
                <w:b/>
                <w:sz w:val="19"/>
              </w:rPr>
              <w:t>1.  Baseline</w:t>
            </w:r>
          </w:p>
        </w:tc>
        <w:tc>
          <w:tcPr>
            <w:tcW w:type="dxa" w:w="1440"/>
          </w:tcPr>
          <w:p>
            <w:pPr>
              <w:spacing w:after="40" w:before="40"/>
            </w:pPr>
            <w:r/>
            <w:r>
              <w:rPr>
                <w:rFonts w:ascii="Calibri" w:hAnsi="Calibri"/>
                <w:b w:val="0"/>
                <w:sz w:val="19"/>
              </w:rPr>
              <w:t>4–6 weeks</w:t>
            </w:r>
          </w:p>
        </w:tc>
        <w:tc>
          <w:tcPr>
            <w:tcW w:type="dxa" w:w="4320"/>
          </w:tcPr>
          <w:p>
            <w:pPr>
              <w:spacing w:after="40" w:before="40"/>
            </w:pPr>
            <w:r/>
            <w:r>
              <w:rPr>
                <w:rFonts w:ascii="Calibri" w:hAnsi="Calibri"/>
                <w:b w:val="0"/>
                <w:sz w:val="19"/>
              </w:rPr>
              <w:t>Ingest five standard log sources; build per-entity profiles and cohorts.</w:t>
            </w:r>
          </w:p>
        </w:tc>
        <w:tc>
          <w:tcPr>
            <w:tcW w:type="dxa" w:w="2448"/>
          </w:tcPr>
          <w:p>
            <w:pPr>
              <w:spacing w:after="40" w:before="40"/>
            </w:pPr>
            <w:r/>
            <w:r>
              <w:rPr>
                <w:rFonts w:ascii="Calibri" w:hAnsi="Calibri"/>
                <w:b w:val="0"/>
                <w:sz w:val="19"/>
              </w:rPr>
              <w:t>Stable baselines and cohorts established.</w:t>
            </w:r>
          </w:p>
        </w:tc>
      </w:tr>
      <w:tr>
        <w:tc>
          <w:tcPr>
            <w:tcW w:type="dxa" w:w="1872"/>
            <w:shd w:val="clear" w:fill="F4F6F8"/>
          </w:tcPr>
          <w:p>
            <w:pPr>
              <w:spacing w:after="40" w:before="40"/>
            </w:pPr>
            <w:r/>
            <w:r>
              <w:rPr>
                <w:rFonts w:ascii="Calibri" w:hAnsi="Calibri"/>
                <w:b/>
                <w:sz w:val="19"/>
              </w:rPr>
              <w:t>2.  Calibrate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Tune named-profile thresholds to the environment; measure the real false-positive rate.</w:t>
            </w:r>
          </w:p>
        </w:tc>
        <w:tc>
          <w:tcPr>
            <w:tcW w:type="dxa" w:w="2448"/>
          </w:tcPr>
          <w:p>
            <w:pPr>
              <w:spacing w:after="40" w:before="40"/>
            </w:pPr>
            <w:r/>
            <w:r>
              <w:rPr>
                <w:rFonts w:ascii="Calibri" w:hAnsi="Calibri"/>
                <w:b w:val="0"/>
                <w:sz w:val="19"/>
              </w:rPr>
              <w:t>False positives within agreed budget.</w:t>
            </w:r>
          </w:p>
        </w:tc>
      </w:tr>
      <w:tr>
        <w:tc>
          <w:tcPr>
            <w:tcW w:type="dxa" w:w="1872"/>
            <w:shd w:val="clear" w:fill="F4F6F8"/>
          </w:tcPr>
          <w:p>
            <w:pPr>
              <w:spacing w:after="40" w:before="40"/>
            </w:pPr>
            <w:r/>
            <w:r>
              <w:rPr>
                <w:rFonts w:ascii="Calibri" w:hAnsi="Calibri"/>
                <w:b/>
                <w:sz w:val="19"/>
              </w:rPr>
              <w:t>3.  Validate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Red-team or historical-incident replay to confirm detection on this environment's data.</w:t>
            </w:r>
          </w:p>
        </w:tc>
        <w:tc>
          <w:tcPr>
            <w:tcW w:type="dxa" w:w="2448"/>
          </w:tcPr>
          <w:p>
            <w:pPr>
              <w:spacing w:after="40" w:before="40"/>
            </w:pPr>
            <w:r/>
            <w:r>
              <w:rPr>
                <w:rFonts w:ascii="Calibri" w:hAnsi="Calibri"/>
                <w:b w:val="0"/>
                <w:sz w:val="19"/>
              </w:rPr>
              <w:t>Known-bad activity matched and named.</w:t>
            </w:r>
          </w:p>
        </w:tc>
      </w:tr>
      <w:tr>
        <w:tc>
          <w:tcPr>
            <w:tcW w:type="dxa" w:w="1872"/>
            <w:shd w:val="clear" w:fill="F4F6F8"/>
          </w:tcPr>
          <w:p>
            <w:pPr>
              <w:spacing w:after="40" w:before="40"/>
            </w:pPr>
            <w:r/>
            <w:r>
              <w:rPr>
                <w:rFonts w:ascii="Calibri" w:hAnsi="Calibri"/>
                <w:b/>
                <w:sz w:val="19"/>
              </w:rPr>
              <w:t>4.  Production</w:t>
            </w:r>
          </w:p>
        </w:tc>
        <w:tc>
          <w:tcPr>
            <w:tcW w:type="dxa" w:w="1440"/>
          </w:tcPr>
          <w:p>
            <w:pPr>
              <w:spacing w:after="40" w:before="40"/>
            </w:pPr>
            <w:r/>
            <w:r>
              <w:rPr>
                <w:rFonts w:ascii="Calibri" w:hAnsi="Calibri"/>
                <w:b w:val="0"/>
                <w:sz w:val="19"/>
              </w:rPr>
              <w:t>Ongoing</w:t>
            </w:r>
          </w:p>
        </w:tc>
        <w:tc>
          <w:tcPr>
            <w:tcW w:type="dxa" w:w="4320"/>
          </w:tcPr>
          <w:p>
            <w:pPr>
              <w:spacing w:after="40" w:before="40"/>
            </w:pPr>
            <w:r/>
            <w:r>
              <w:rPr>
                <w:rFonts w:ascii="Calibri" w:hAnsi="Calibri"/>
                <w:b w:val="0"/>
                <w:sz w:val="19"/>
              </w:rPr>
              <w:t>Feed ranked, explained leads into the existing SIEM/SOAR workflow.</w:t>
            </w:r>
          </w:p>
        </w:tc>
        <w:tc>
          <w:tcPr>
            <w:tcW w:type="dxa" w:w="2448"/>
          </w:tcPr>
          <w:p>
            <w:pPr>
              <w:spacing w:after="40" w:before="40"/>
            </w:pPr>
            <w:r/>
            <w:r>
              <w:rPr>
                <w:rFonts w:ascii="Calibri" w:hAnsi="Calibri"/>
                <w:b w:val="0"/>
                <w:sz w:val="19"/>
              </w:rPr>
              <w:t>Analyst-accepted leads in steady state.</w:t>
            </w:r>
          </w:p>
        </w:tc>
      </w:tr>
    </w:tbl>
    <w:p>
      <w:pPr>
        <w:spacing w:after="40"/>
      </w:pPr>
    </w:p>
    <w:p>
      <w:pPr>
        <w:spacing w:before="280" w:after="80"/>
      </w:pPr>
      <w:r>
        <w:rPr>
          <w:b/>
          <w:color w:val="0B1F3A"/>
          <w:sz w:val="30"/>
        </w:rPr>
        <w:t>11.  Deployment in Practice</w:t>
      </w:r>
    </w:p>
    <w:p>
      <w:pPr>
        <w:spacing w:after="120"/>
      </w:pPr>
      <w:r>
        <w:rPr>
          <w:b w:val="0"/>
          <w:i w:val="0"/>
          <w:sz w:val="21"/>
        </w:rPr>
        <w:t>V-Intelligence UEBA is designed to complement, not replace, the existing stack. The recommended operating model layers the fast magnitude-based tools as a familiar pre-filter, the threat-profile detector as the precision engine producing the named ranked list, and the semantic layer as the discovery net and the source of investigation context.</w:t>
      </w:r>
    </w:p>
    <w:p>
      <w:pPr>
        <w:pStyle w:val="ListBullet"/>
        <w:spacing w:after="60"/>
      </w:pPr>
      <w:r>
        <w:rPr>
          <w:b/>
          <w:sz w:val="21"/>
        </w:rPr>
        <w:t xml:space="preserve">Data requirements. </w:t>
      </w:r>
      <w:r>
        <w:rPr>
          <w:sz w:val="21"/>
        </w:rPr>
        <w:t>Five standard log sources most enterprises already collect (sign-ins, file access, endpoint telemetry, network flow, and domain lookups), plus data-sensitivity labels where available. No new sensors required.</w:t>
      </w:r>
    </w:p>
    <w:p>
      <w:pPr>
        <w:pStyle w:val="ListBullet"/>
        <w:spacing w:after="60"/>
      </w:pPr>
      <w:r>
        <w:rPr>
          <w:b/>
          <w:sz w:val="21"/>
        </w:rPr>
        <w:t xml:space="preserve">Footprint. </w:t>
      </w:r>
      <w:r>
        <w:rPr>
          <w:sz w:val="21"/>
        </w:rPr>
        <w:t>Containerized, standard infrastructure — no specialized hardware — suitable for enterprise data centers, cloud, or disconnected secure environments. Profiles update incrementally, so steady-state cost is small.</w:t>
      </w:r>
    </w:p>
    <w:p>
      <w:pPr>
        <w:pStyle w:val="ListBullet"/>
        <w:spacing w:after="60"/>
      </w:pPr>
      <w:r>
        <w:rPr>
          <w:b/>
          <w:sz w:val="21"/>
        </w:rPr>
        <w:t xml:space="preserve">Integration. </w:t>
      </w:r>
      <w:r>
        <w:rPr>
          <w:sz w:val="21"/>
        </w:rPr>
        <w:t>Alerts feed existing SIEM/SOAR (Security Orchestration, Automation and Response) workflows with the matched profile and ATT&amp;CK technique attached; behavioral risk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the statistics, because peer baselines and cohort comparisons get richer.</w:t>
      </w:r>
    </w:p>
    <w:p>
      <w:pPr>
        <w:spacing w:before="280" w:after="80"/>
      </w:pPr>
      <w:r>
        <w:rPr>
          <w:b/>
          <w:color w:val="0B1F3A"/>
          <w:sz w:val="30"/>
        </w:rPr>
        <w:t>12.  Why This Is New</w:t>
      </w:r>
    </w:p>
    <w:p>
      <w:pPr>
        <w:spacing w:after="120"/>
      </w:pPr>
      <w:r>
        <w:rPr>
          <w:b w:val="0"/>
          <w:i w:val="0"/>
          <w:sz w:val="21"/>
        </w:rPr>
        <w:t>Commercial UEBA products exist, and the better ones perform per-entity baselining with statistical or machine-learning anomaly scores. What they produce is magnitude — a number saying behavior is different — without the direction that distinguishes insider exfiltration from benign change, and without a named, peer-relative profile that an analyst can act on directly. The individual techniques used here (serializing structured data to text for embedding, anomaly detection in embedding space, cohort-relative scoring, label-free beacon and domain detection, novelty tracking) each exist separately in the literature.</w:t>
      </w:r>
    </w:p>
    <w:p>
      <w:pPr>
        <w:spacing w:after="120"/>
      </w:pPr>
      <w:r>
        <w:rPr>
          <w:b/>
          <w:i w:val="0"/>
          <w:sz w:val="21"/>
        </w:rPr>
        <w:t>What is not offered, commercially or in any single published system we have found, is the composition: every entity maintained as a behavioral profile in one shared semantic space; a precision layer of named, measurable known-bad fingerprints scored relative to role-group peers and read label-free from raw events; a discovery layer that accumulates slow drift and recurring novelty and names the direction against MITRE ATT&amp;CK; and the two layers fused into one short, explained, ranked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13.  Limitations — Stated Plainly</w:t>
      </w:r>
    </w:p>
    <w:p>
      <w:pPr>
        <w:pStyle w:val="ListBullet"/>
        <w:spacing w:after="60"/>
      </w:pPr>
      <w:r>
        <w:rPr>
          <w:sz w:val="21"/>
        </w:rPr>
        <w:t>All results are from synthetic telemetry calibrated to public CISA (Cybersecurity and Infrastructure Security Agency) advisories. Real enterprise behavior is messier; every figure must be re-measured on real data, including the zero-false-positive result.</w:t>
      </w:r>
    </w:p>
    <w:p>
      <w:pPr>
        <w:pStyle w:val="ListBullet"/>
        <w:spacing w:after="60"/>
      </w:pPr>
      <w:r>
        <w:rPr>
          <w:sz w:val="21"/>
        </w:rPr>
        <w:t>A fingerprint library only catches techniques it describes. Novel attacks fall to the discovery layer, which is more sensitive and therefore noisier — its operating threshold is a real analyst-cost trade-off.</w:t>
      </w:r>
    </w:p>
    <w:p>
      <w:pPr>
        <w:pStyle w:val="ListBullet"/>
        <w:spacing w:after="60"/>
      </w:pPr>
      <w:r>
        <w:rPr>
          <w:sz w:val="21"/>
        </w:rPr>
        <w:t>Named-profile thresholds were validated knowing the answers; in production they must be set blind and tuned per environment.</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profile; environments without classification metadata lose part of that signal.</w:t>
      </w:r>
    </w:p>
    <w:p>
      <w:pPr>
        <w:pStyle w:val="ListBullet"/>
        <w:spacing w:after="60"/>
      </w:pPr>
      <w:r>
        <w:rPr>
          <w:sz w:val="21"/>
        </w:rPr>
        <w:t>The semantic layer relies on an embedding model; fully disconnected deployments require a locally hosted replacement, which must be re-validated.</w:t>
      </w:r>
    </w:p>
    <w:p>
      <w:pPr>
        <w:spacing w:before="280" w:after="80"/>
      </w:pPr>
      <w:r>
        <w:rPr>
          <w:b/>
          <w:color w:val="0B1F3A"/>
          <w:sz w:val="30"/>
        </w:rPr>
        <w:t>14.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V-Intelligence UEBA reads the same enterprise logs as a living behavioral profile for every entity, and runs two complementary detection layers over it: a precision layer of named, measurable known-bad fingerprints scored against role-group peers, and a discovery layer of semantic drift and novelty that names the direction against known adversary behavior. On a 250-user, 485-day validation with four embedded campaigns, it matched 4 of 4 attacks to named attack fingerprints at zero false positives, against 1 of 4 with no explanation for the best traditional method.</w:t>
      </w:r>
    </w:p>
    <w:p>
      <w:pPr>
        <w:spacing w:after="120"/>
      </w:pPr>
      <w:r>
        <w:rPr>
          <w:b/>
          <w:i w:val="0"/>
          <w:sz w:val="21"/>
        </w:rPr>
        <w:t>An insider changes what they access, not how much; an APT changes where it communicates, not how often. Traditional tools measure magnitude. V-Intelligence UEBA measures direction, peer-relative deviation, and named-profile match — the dimensions in which these attacks are actually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Threat-profile detector</w:t>
            </w:r>
          </w:p>
        </w:tc>
        <w:tc>
          <w:tcPr>
            <w:tcW w:type="dxa" w:w="7200"/>
          </w:tcPr>
          <w:p>
            <w:pPr>
              <w:spacing w:after="40" w:before="40"/>
            </w:pPr>
            <w:r/>
            <w:r>
              <w:rPr>
                <w:rFonts w:ascii="Calibri" w:hAnsi="Calibri"/>
                <w:b w:val="0"/>
                <w:sz w:val="18"/>
              </w:rPr>
              <w:t>The precision detection layer: a library of named, measurable known-bad fingerprints; a flag means an entity matched a specific attack profile, not merely that it looked unusual.</w:t>
            </w:r>
          </w:p>
        </w:tc>
      </w:tr>
      <w:tr>
        <w:tc>
          <w:tcPr>
            <w:tcW w:type="dxa" w:w="2736"/>
            <w:shd w:val="clear" w:fill="F4F6F8"/>
          </w:tcPr>
          <w:p>
            <w:pPr>
              <w:spacing w:after="40" w:before="40"/>
            </w:pPr>
            <w:r/>
            <w:r>
              <w:rPr>
                <w:rFonts w:ascii="Calibri" w:hAnsi="Calibri"/>
                <w:b/>
                <w:color w:val="0B1F3A"/>
                <w:sz w:val="18"/>
              </w:rPr>
              <w:t>Cohort-relative</w:t>
            </w:r>
          </w:p>
        </w:tc>
        <w:tc>
          <w:tcPr>
            <w:tcW w:type="dxa" w:w="7200"/>
          </w:tcPr>
          <w:p>
            <w:pPr>
              <w:spacing w:after="40" w:before="40"/>
            </w:pPr>
            <w:r/>
            <w:r>
              <w:rPr>
                <w:rFonts w:ascii="Calibri" w:hAnsi="Calibri"/>
                <w:b w:val="0"/>
                <w:sz w:val="18"/>
              </w:rPr>
              <w:t>Scored against the entity's role-group peers (developer vs developers, etc.), so "normal for the role" is not mistaken for an anomaly.</w:t>
            </w:r>
          </w:p>
        </w:tc>
      </w:tr>
      <w:tr>
        <w:tc>
          <w:tcPr>
            <w:tcW w:type="dxa" w:w="2736"/>
            <w:shd w:val="clear" w:fill="F4F6F8"/>
          </w:tcPr>
          <w:p>
            <w:pPr>
              <w:spacing w:after="40" w:before="40"/>
            </w:pPr>
            <w:r/>
            <w:r>
              <w:rPr>
                <w:rFonts w:ascii="Calibri" w:hAnsi="Calibri"/>
                <w:b/>
                <w:color w:val="0B1F3A"/>
                <w:sz w:val="18"/>
              </w:rPr>
              <w:t>C2 beacon</w:t>
            </w:r>
          </w:p>
        </w:tc>
        <w:tc>
          <w:tcPr>
            <w:tcW w:type="dxa" w:w="7200"/>
          </w:tcPr>
          <w:p>
            <w:pPr>
              <w:spacing w:after="40" w:before="40"/>
            </w:pPr>
            <w:r/>
            <w:r>
              <w:rPr>
                <w:rFonts w:ascii="Calibri" w:hAnsi="Calibri"/>
                <w:b w:val="0"/>
                <w:sz w:val="18"/>
              </w:rPr>
              <w:t>A covert "call-home" channel an implanted attacker tool uses for instructions; detected here label-free by its robotic, evenly spaced rhythm.</w:t>
            </w:r>
          </w:p>
        </w:tc>
      </w:tr>
      <w:tr>
        <w:tc>
          <w:tcPr>
            <w:tcW w:type="dxa" w:w="2736"/>
            <w:shd w:val="clear" w:fill="F4F6F8"/>
          </w:tcPr>
          <w:p>
            <w:pPr>
              <w:spacing w:after="40" w:before="40"/>
            </w:pPr>
            <w:r/>
            <w:r>
              <w:rPr>
                <w:rFonts w:ascii="Calibri" w:hAnsi="Calibri"/>
                <w:b/>
                <w:color w:val="0B1F3A"/>
                <w:sz w:val="18"/>
              </w:rPr>
              <w:t>DGA (domain-generation algorithm)</w:t>
            </w:r>
          </w:p>
        </w:tc>
        <w:tc>
          <w:tcPr>
            <w:tcW w:type="dxa" w:w="7200"/>
          </w:tcPr>
          <w:p>
            <w:pPr>
              <w:spacing w:after="40" w:before="40"/>
            </w:pPr>
            <w:r/>
            <w:r>
              <w:rPr>
                <w:rFonts w:ascii="Calibri" w:hAnsi="Calibri"/>
                <w:b w:val="0"/>
                <w:sz w:val="18"/>
              </w:rPr>
              <w:t>Malware that invents many random-looking domain names to find its controller; detected by high name-randomness and shared back-end infrastructure.</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SIEM / SOC / SOAR</w:t>
            </w:r>
          </w:p>
        </w:tc>
        <w:tc>
          <w:tcPr>
            <w:tcW w:type="dxa" w:w="7200"/>
          </w:tcPr>
          <w:p>
            <w:pPr>
              <w:spacing w:after="40" w:before="40"/>
            </w:pPr>
            <w:r/>
            <w:r>
              <w:rPr>
                <w:rFonts w:ascii="Calibri" w:hAnsi="Calibri"/>
                <w:b w:val="0"/>
                <w:sz w:val="18"/>
              </w:rPr>
              <w:t>Security Information and Event Management (the central log/rule platform); Security Operations Center (the analyst team); Security Orchestration, Automation and Response (incident-response automation).</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 / LOTL</w:t>
            </w:r>
          </w:p>
        </w:tc>
        <w:tc>
          <w:tcPr>
            <w:tcW w:type="dxa" w:w="7200"/>
          </w:tcPr>
          <w:p>
            <w:pPr>
              <w:spacing w:after="40" w:before="40"/>
            </w:pPr>
            <w:r/>
            <w:r>
              <w:rPr>
                <w:rFonts w:ascii="Calibri" w:hAnsi="Calibri"/>
                <w:b w:val="0"/>
                <w:sz w:val="18"/>
              </w:rPr>
              <w:t>Advanced Persistent Threat (a patient, well-resourced, usually nation-state intrusion); Living off the land (attacking with only the legitimate admin tools already present — nothing to fingerprint).</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the threat-profile layer flagged none of the 246 normal users on this synthetic set.</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(Enhanced) — architecture-level disclosure. Named-profile definitions,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