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A Comprehensive Framework for Detecting Advanced Cyber Threats</w:t>
        <w:br/>
        <w:t>Through Behavioral Baseline, Drift, and Direction Analysis</w:t>
      </w:r>
    </w:p>
    <w:p/>
    <w:p/>
    <w:p>
      <w:pPr>
        <w:jc w:val="center"/>
      </w:pPr>
      <w:r>
        <w:rPr>
          <w:color w:val="444444"/>
          <w:sz w:val="24"/>
        </w:rPr>
        <w:t>22nd Century Technologies, Inc.</w:t>
        <w:br/>
        <w:t>V-Intelligence UEBA Program</w:t>
        <w:br/>
        <w:br/>
        <w:t>June 2026 — Version 2.0</w:t>
      </w:r>
    </w:p>
    <w:p>
      <w:r>
        <w:br w:type="page"/>
      </w:r>
    </w:p>
    <w:p>
      <w:pPr>
        <w:pStyle w:val="Heading1"/>
      </w:pPr>
      <w:r>
        <w:rPr>
          <w:color w:val="0D1B2A"/>
        </w:rPr>
        <w:t>1. Executive Summary</w:t>
      </w:r>
    </w:p>
    <w:p>
      <w:pPr>
        <w:spacing w:after="120"/>
      </w:pPr>
      <w:r>
        <w:rPr>
          <w:b w:val="0"/>
          <w:i w:val="0"/>
          <w:color w:val="000000"/>
          <w:sz w:val="21"/>
        </w:rPr>
        <w:t>Modern cyber threats have evolved beyond the capabilities of traditional security tools. Nation-state actors, sophisticated insider threats, and living-off-the-land (LOTL) techniques now operate below the detection thresholds of rule-based SIEM systems and signature-based intrusion detection. These attacks succeed not by tripping alarms, but by carefully staying within the statistical bounds of normal behavior while gradually shifting their operational profile over weeks and months.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417-day slow APT with C2 beaconing, a 412-day Volt Typhoon living-off-the-land campaign, and a 412-day Salt Typhoon telecom infrastructure attack — we demonstrate that:</w:t>
      </w:r>
    </w:p>
    <w:p>
      <w:pPr>
        <w:pStyle w:val="ListBullet"/>
        <w:ind w:left="360"/>
      </w:pPr>
      <w:r>
        <w:rPr>
          <w:b/>
          <w:sz w:val="21"/>
        </w:rPr>
        <w:t xml:space="preserve">Finding 1: </w:t>
      </w:r>
      <w:r>
        <w:rPr>
          <w:sz w:val="21"/>
        </w:rPr>
        <w:t>Traditional anomaly detection (Z-Score, OCSVM) detects all 4 attackers, and LOF/IForest detect 3 of 4 — but provide no directional intelligence to distinguish threat type or guide triage prioritization.</w:t>
      </w:r>
    </w:p>
    <w:p>
      <w:pPr>
        <w:pStyle w:val="ListBullet"/>
        <w:ind w:left="360"/>
      </w:pPr>
      <w:r>
        <w:rPr>
          <w:b/>
          <w:sz w:val="21"/>
        </w:rPr>
        <w:t xml:space="preserve">Finding 2: </w:t>
      </w:r>
      <w:r>
        <w:rPr>
          <w:sz w:val="21"/>
        </w:rPr>
        <w:t>Behavioral drift analysis alone fails when attack signals from one behavioral zone are diluted by four stable zones.</w:t>
      </w:r>
    </w:p>
    <w:p>
      <w:pPr>
        <w:pStyle w:val="ListBullet"/>
        <w:ind w:left="360"/>
      </w:pPr>
      <w:r>
        <w:rPr>
          <w:b/>
          <w:sz w:val="21"/>
        </w:rPr>
        <w:t xml:space="preserve">Finding 3: </w:t>
      </w:r>
      <w:r>
        <w:rPr>
          <w:sz w:val="21"/>
        </w:rPr>
        <w:t>Multi-phase composite scoring detects all 4 attack types at 8.1% false positive rate (20 FP out of 246 normal users).</w:t>
      </w:r>
    </w:p>
    <w:p>
      <w:pPr>
        <w:pStyle w:val="ListBullet"/>
        <w:ind w:left="360"/>
      </w:pPr>
      <w:r>
        <w:rPr>
          <w:b/>
          <w:sz w:val="21"/>
        </w:rPr>
        <w:t xml:space="preserve">Finding 4: </w:t>
      </w:r>
      <w:r>
        <w:rPr>
          <w:sz w:val="21"/>
        </w:rPr>
        <w:t>Semantic behavioral embeddings outperform raw feature vectors by capturing what kind of change occurred, not just how much changed.</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8.1% (20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#24) and Salt Typhoon (USR-118, rank #1) are detected by composite scoring at the 90th-percentile threshold with 8.1%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20</w:t>
            </w:r>
          </w:p>
        </w:tc>
        <w:tc>
          <w:tcPr>
            <w:tcW w:type="dxa" w:w="864"/>
          </w:tcPr>
          <w:p>
            <w:r>
              <w:rPr>
                <w:sz w:val="18"/>
              </w:rPr>
              <w:t>8.1%</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51.3</w:t>
            </w:r>
          </w:p>
        </w:tc>
        <w:tc>
          <w:tcPr>
            <w:tcW w:type="dxa" w:w="720"/>
          </w:tcPr>
          <w:p>
            <w:r>
              <w:rPr>
                <w:sz w:val="18"/>
              </w:rPr>
              <w:t>#1</w:t>
            </w:r>
          </w:p>
        </w:tc>
        <w:tc>
          <w:tcPr>
            <w:tcW w:type="dxa" w:w="864"/>
          </w:tcPr>
          <w:p>
            <w:r>
              <w:rPr>
                <w:sz w:val="18"/>
              </w:rPr>
              <w:t>29.9</w:t>
            </w:r>
          </w:p>
        </w:tc>
        <w:tc>
          <w:tcPr>
            <w:tcW w:type="dxa" w:w="1008"/>
          </w:tcPr>
          <w:p>
            <w:r>
              <w:rPr>
                <w:sz w:val="18"/>
              </w:rPr>
              <w:t>18</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19.4</w:t>
            </w:r>
          </w:p>
        </w:tc>
        <w:tc>
          <w:tcPr>
            <w:tcW w:type="dxa" w:w="720"/>
          </w:tcPr>
          <w:p>
            <w:r>
              <w:rPr>
                <w:sz w:val="18"/>
              </w:rPr>
              <w:t>#7</w:t>
            </w:r>
          </w:p>
        </w:tc>
        <w:tc>
          <w:tcPr>
            <w:tcW w:type="dxa" w:w="864"/>
          </w:tcPr>
          <w:p>
            <w:r>
              <w:rPr>
                <w:sz w:val="18"/>
              </w:rPr>
              <w:t>4.5</w:t>
            </w:r>
          </w:p>
        </w:tc>
        <w:tc>
          <w:tcPr>
            <w:tcW w:type="dxa" w:w="1008"/>
          </w:tcPr>
          <w:p>
            <w:r>
              <w:rPr>
                <w:sz w:val="18"/>
              </w:rPr>
              <w:t>1</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13.7</w:t>
            </w:r>
          </w:p>
        </w:tc>
        <w:tc>
          <w:tcPr>
            <w:tcW w:type="dxa" w:w="720"/>
            <w:shd w:fill="EAF0F6"/>
          </w:tcPr>
          <w:p>
            <w:r>
              <w:rPr>
                <w:sz w:val="18"/>
              </w:rPr>
              <w:t>#24</w:t>
            </w:r>
          </w:p>
        </w:tc>
        <w:tc>
          <w:tcPr>
            <w:tcW w:type="dxa" w:w="864"/>
            <w:shd w:fill="EAF0F6"/>
          </w:tcPr>
          <w:p>
            <w:r>
              <w:rPr>
                <w:sz w:val="18"/>
              </w:rPr>
              <w:t>6.4</w:t>
            </w:r>
          </w:p>
        </w:tc>
        <w:tc>
          <w:tcPr>
            <w:tcW w:type="dxa" w:w="1008"/>
            <w:shd w:fill="EAF0F6"/>
          </w:tcPr>
          <w:p>
            <w:r>
              <w:rPr>
                <w:sz w:val="18"/>
              </w:rPr>
              <w:t>11</w:t>
            </w:r>
          </w:p>
        </w:tc>
        <w:tc>
          <w:tcPr>
            <w:tcW w:type="dxa" w:w="1008"/>
            <w:shd w:fill="EAF0F6"/>
          </w:tcPr>
          <w:p>
            <w:r>
              <w:rPr>
                <w:sz w:val="18"/>
              </w:rPr>
              <w:t>3.8</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18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#24:</w:t>
      </w:r>
    </w:p>
    <w:p>
      <w:pPr>
        <w:spacing w:after="120"/>
      </w:pPr>
      <w:r>
        <w:rPr>
          <w:b w:val="0"/>
          <w:i w:val="0"/>
          <w:color w:val="000000"/>
          <w:sz w:val="21"/>
        </w:rPr>
        <w:t>The living-off-the-land campaign uses legitimate administrative tools, producing a broad but moderate behavioral footprint — 11 features elevated beyond 1.5 standard deviations across access and endpoint behavior. It ranks #24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8.1%</w:t>
            </w:r>
          </w:p>
        </w:tc>
        <w:tc>
          <w:tcPr>
            <w:tcW w:type="dxa" w:w="4032"/>
          </w:tcPr>
          <w:p>
            <w:r>
              <w:rPr>
                <w:sz w:val="18"/>
              </w:rPr>
              <w:t>Detects all 4 with zone-level</w:t>
              <w:br/>
              <w:t>explanation. 20 FP — each with</w:t>
              <w:br/>
              <w:t>behavioral phase attribution.</w:t>
            </w:r>
          </w:p>
        </w:tc>
      </w:tr>
    </w:tbl>
    <w:p/>
    <w:p>
      <w:pPr>
        <w:spacing w:after="120"/>
      </w:pPr>
      <w:r>
        <w:rPr>
          <w:b w:val="0"/>
          <w:i w:val="0"/>
          <w:color w:val="000000"/>
          <w:sz w:val="21"/>
        </w:rPr>
        <w:t>Composite scoring's 8.1% false positive rate corresponds to 20 normal users flagged alongside the 4 attackers at the 90th-percentile threshold. In an operational setting, these 20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8.1%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51.3</w:t>
            </w:r>
          </w:p>
        </w:tc>
        <w:tc>
          <w:tcPr>
            <w:tcW w:type="dxa" w:w="720"/>
          </w:tcPr>
          <w:p>
            <w:r>
              <w:rPr>
                <w:sz w:val="18"/>
              </w:rPr>
              <w:t>#1</w:t>
            </w:r>
          </w:p>
        </w:tc>
        <w:tc>
          <w:tcPr>
            <w:tcW w:type="dxa" w:w="5472"/>
          </w:tcPr>
          <w:p>
            <w:r>
              <w:rPr>
                <w:sz w:val="18"/>
              </w:rPr>
              <w:t>Signal Strength (29.9) + Breadth (18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19.4</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13.7</w:t>
            </w:r>
          </w:p>
        </w:tc>
        <w:tc>
          <w:tcPr>
            <w:tcW w:type="dxa" w:w="720"/>
            <w:shd w:fill="EAF0F6"/>
          </w:tcPr>
          <w:p>
            <w:r>
              <w:rPr>
                <w:sz w:val="18"/>
              </w:rPr>
              <w:t>#24</w:t>
            </w:r>
          </w:p>
        </w:tc>
        <w:tc>
          <w:tcPr>
            <w:tcW w:type="dxa" w:w="5472"/>
            <w:shd w:fill="EAF0F6"/>
          </w:tcPr>
          <w:p>
            <w:r>
              <w:rPr>
                <w:sz w:val="18"/>
              </w:rPr>
              <w:t>Signal Strength (7.2) + Context Divergence (2.3)</w:t>
              <w:br/>
              <w:t>LOTL tools create cross-context anomalies</w:t>
            </w:r>
          </w:p>
        </w:tc>
      </w:tr>
    </w:tbl>
    <w:p/>
    <w:p>
      <w:pPr>
        <w:spacing w:after="120"/>
      </w:pPr>
      <w:r>
        <w:rPr>
          <w:b w:val="0"/>
          <w:i w:val="0"/>
          <w:color w:val="000000"/>
          <w:sz w:val="21"/>
        </w:rPr>
        <w:t>All four attackers rank in the top 25 of 250 users (top 10%). At the 90th percentile detection threshold, 4 of 4 attacks are detected with a false positive rate of 8.1% (20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8.1%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19.4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