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60"/>
        </w:rPr>
        <w:t>V-Intelligence UEBA</w:t>
      </w:r>
    </w:p>
    <w:p>
      <w:pPr>
        <w:jc w:val="center"/>
      </w:pPr>
      <w:r>
        <w:rPr>
          <w:i/>
          <w:color w:val="1B4F72"/>
          <w:sz w:val="28"/>
        </w:rPr>
        <w:t>Catching the threats that stay inside normal —</w:t>
        <w:br/>
        <w:t>by magnitude AND direction of behavioral change</w:t>
      </w:r>
    </w:p>
    <w:p/>
    <w:p/>
    <w:p>
      <w:pPr>
        <w:jc w:val="center"/>
      </w:pPr>
      <w:r>
        <w:rPr>
          <w:b/>
          <w:sz w:val="26"/>
        </w:rPr>
        <w:t>22nd Century Technologies, Inc. (TSCTI)</w:t>
      </w:r>
    </w:p>
    <w:p>
      <w:pPr>
        <w:jc w:val="center"/>
      </w:pPr>
      <w:r>
        <w:rPr>
          <w:color w:val="555555"/>
          <w:sz w:val="22"/>
        </w:rPr>
        <w:t>Behavioral Entity Intelligence — a US-developed detection capability</w:t>
      </w:r>
    </w:p>
    <w:p/>
    <w:p/>
    <w:p/>
    <w:p/>
    <w:p/>
    <w:p/>
    <w:p>
      <w:pPr>
        <w:jc w:val="center"/>
      </w:pPr>
      <w:r>
        <w:rPr>
          <w:color w:val="0D1B2A"/>
          <w:sz w:val="22"/>
        </w:rPr>
        <w:t>Prepared for: Brandon Pugh  ·  U.S. Army Cyber</w:t>
      </w:r>
    </w:p>
    <w:p>
      <w:pPr>
        <w:jc w:val="center"/>
      </w:pPr>
      <w:r>
        <w:rPr>
          <w:i/>
          <w:color w:val="555555"/>
          <w:sz w:val="18"/>
        </w:rPr>
        <w:t>Executive briefing. Quantitative results herein are from a controlled synthetic evaluation and require re-validation on operational data.</w:t>
      </w:r>
    </w:p>
    <w:p>
      <w:r>
        <w:br w:type="page"/>
      </w:r>
    </w:p>
    <w:p>
      <w:pPr>
        <w:spacing w:before="40"/>
      </w:pPr>
      <w:r>
        <w:rPr>
          <w:b/>
          <w:color w:val="B91C1C"/>
          <w:sz w:val="30"/>
        </w:rPr>
        <w:t xml:space="preserve">1.  </w:t>
      </w:r>
      <w:r>
        <w:rPr>
          <w:b/>
          <w:color w:val="0D1B2A"/>
          <w:sz w:val="30"/>
        </w:rPr>
        <w:t>The Problem: the most dangerous threats stay inside “normal”</w:t>
      </w:r>
    </w:p>
    <w:p>
      <w:r>
        <w:rPr>
          <w:i w:val="0"/>
        </w:rPr>
        <w:t>The intrusions and insiders that do the most damage are engineered to keep every individual signal inside its normal range. No single metric breaks. The damage is in the DIRECTION and ACCUMULATION of behavioral change over time — what an entity is becoming — not in any threshold being crossed.</w:t>
      </w:r>
    </w:p>
    <w:p>
      <w:pPr>
        <w:pStyle w:val="ListBullet"/>
      </w:pPr>
      <w:r>
        <w:rPr>
          <w:b/>
        </w:rPr>
        <w:t xml:space="preserve">An insider </w:t>
      </w:r>
      <w:r>
        <w:t>logs in to different things, not more things; shifts access from public to restricted content at the same volume.</w:t>
      </w:r>
    </w:p>
    <w:p>
      <w:pPr>
        <w:pStyle w:val="ListBullet"/>
      </w:pPr>
      <w:r>
        <w:rPr>
          <w:b/>
        </w:rPr>
        <w:t xml:space="preserve">A patient nation-state actor </w:t>
      </w:r>
      <w:r>
        <w:t>beacons a few times a day for months using legitimate tools and credentials — no malware, no flood, nothing loud.</w:t>
      </w:r>
    </w:p>
    <w:p>
      <w:r>
        <w:rPr>
          <w:i w:val="0"/>
        </w:rPr>
        <w:t>Conventional detection scores each metric on its own axis, so a change of KIND at constant volume is invisible. The defender is left with two bad outcomes: the threat is missed entirely, or it produces an undifferentiated “anomalous” alert with no direction — feeding alert fatigue and manual triage while the adversary dwells.</w:t>
      </w:r>
    </w:p>
    <w:tbl>
      <w:tblPr>
        <w:tblW w:type="auto" w:w="0"/>
        <w:jc w:val="center"/>
        <w:tblLook w:firstColumn="1" w:firstRow="1" w:lastColumn="0" w:lastRow="0" w:noHBand="0" w:noVBand="1" w:val="04A0"/>
      </w:tblPr>
      <w:tblGrid>
        <w:gridCol w:w="8640"/>
      </w:tblGrid>
      <w:tr>
        <w:tc>
          <w:tcPr>
            <w:tcW w:type="dxa" w:w="8640"/>
            <w:shd w:val="clear" w:fill="EAF2FB"/>
          </w:tcPr>
          <w:p>
            <w:r>
              <w:rPr>
                <w:b/>
                <w:color w:val="0D1B2A"/>
                <w:sz w:val="22"/>
              </w:rPr>
              <w:t>The gap adversaries exploit: defenders ask “is any single metric abnormal?” The right question is “what is this entity becoming?”</w:t>
            </w:r>
          </w:p>
        </w:tc>
      </w:tr>
    </w:tbl>
    <w:p/>
    <w:p>
      <w:r>
        <w:br w:type="page"/>
      </w:r>
    </w:p>
    <w:p>
      <w:pPr>
        <w:spacing w:before="40"/>
      </w:pPr>
      <w:r>
        <w:rPr>
          <w:b/>
          <w:color w:val="B91C1C"/>
          <w:sz w:val="30"/>
        </w:rPr>
        <w:t xml:space="preserve">2.  </w:t>
      </w:r>
      <w:r>
        <w:rPr>
          <w:b/>
          <w:color w:val="0D1B2A"/>
          <w:sz w:val="30"/>
        </w:rPr>
        <w:t>Why Salt &amp; Volt Typhoon Are So Hard to Detect</w:t>
      </w:r>
    </w:p>
    <w:p>
      <w:r>
        <w:rPr>
          <w:i w:val="0"/>
        </w:rPr>
        <w:t>These PRC state-sponsored campaigns are the defining example of the problem above — and exactly the class V-Intelligence is built to surface.</w:t>
      </w:r>
    </w:p>
    <w:p>
      <w:pPr>
        <w:spacing w:before="80"/>
      </w:pPr>
      <w:r>
        <w:rPr>
          <w:b/>
          <w:color w:val="1B4F72"/>
          <w:sz w:val="24"/>
        </w:rPr>
        <w:t>Volt Typhoon — living-off-the-land in U.S. critical infrastructure</w:t>
      </w:r>
    </w:p>
    <w:p>
      <w:pPr>
        <w:pStyle w:val="ListBullet"/>
      </w:pPr>
      <w:r>
        <w:rPr>
          <w:b/>
        </w:rPr>
        <w:t xml:space="preserve">Dwell time: </w:t>
      </w:r>
      <w:r>
        <w:t>dwelled in U.S. critical-infrastructure networks UNDETECTED for at least five years (CISA Advisory AA24-038A).</w:t>
      </w:r>
    </w:p>
    <w:p>
      <w:pPr>
        <w:pStyle w:val="ListBullet"/>
      </w:pPr>
      <w:r>
        <w:rPr>
          <w:b/>
        </w:rPr>
        <w:t xml:space="preserve">Tradecraft: </w:t>
      </w:r>
      <w:r>
        <w:t>living-off-the-land — uses built-in tools and valid credentials, leaves no malware signature; every action looks like routine administration.</w:t>
      </w:r>
    </w:p>
    <w:p>
      <w:pPr>
        <w:spacing w:before="80"/>
      </w:pPr>
      <w:r>
        <w:rPr>
          <w:b/>
          <w:color w:val="1B4F72"/>
          <w:sz w:val="24"/>
        </w:rPr>
        <w:t>Salt Typhoon — compromise of U.S. telecommunications infrastructure</w:t>
      </w:r>
    </w:p>
    <w:p>
      <w:pPr>
        <w:pStyle w:val="ListBullet"/>
      </w:pPr>
      <w:r>
        <w:rPr>
          <w:b/>
        </w:rPr>
        <w:t xml:space="preserve">Scope: </w:t>
      </w:r>
      <w:r>
        <w:t>deep, persistent access into U.S. telecom networks (U.S. Government reporting, 2024–2025), again via legitimate-looking access patterns.</w:t>
      </w:r>
    </w:p>
    <w:p>
      <w:r>
        <w:rPr>
          <w:i w:val="0"/>
        </w:rPr>
        <w:t>Why signature- and threshold-based tools fail on both:</w:t>
      </w:r>
    </w:p>
    <w:p>
      <w:pPr>
        <w:pStyle w:val="ListBullet"/>
      </w:pPr>
      <w:r>
        <w:rPr>
          <w:b/>
        </w:rPr>
        <w:t xml:space="preserve">No signature: </w:t>
      </w:r>
      <w:r>
        <w:t>no malware signature to match (living-off-the-land).</w:t>
      </w:r>
    </w:p>
    <w:p>
      <w:pPr>
        <w:pStyle w:val="ListBullet"/>
      </w:pPr>
      <w:r>
        <w:rPr>
          <w:b/>
        </w:rPr>
        <w:t xml:space="preserve">No threshold breach: </w:t>
      </w:r>
      <w:r>
        <w:t>activity stays within per-metric norms — constant volume, valid accounts.</w:t>
      </w:r>
    </w:p>
    <w:p>
      <w:pPr>
        <w:pStyle w:val="ListBullet"/>
      </w:pPr>
      <w:r>
        <w:rPr>
          <w:b/>
        </w:rPr>
        <w:t xml:space="preserve">The signal is directional: </w:t>
      </w:r>
      <w:r>
        <w:t>the only signal is a slow change in behavioral DIRECTION over months, which per-metric tools never compute.</w:t>
      </w:r>
    </w:p>
    <w:tbl>
      <w:tblPr>
        <w:tblW w:type="auto" w:w="0"/>
        <w:jc w:val="center"/>
        <w:tblLook w:firstColumn="1" w:firstRow="1" w:lastColumn="0" w:lastRow="0" w:noHBand="0" w:noVBand="1" w:val="04A0"/>
      </w:tblPr>
      <w:tblGrid>
        <w:gridCol w:w="8640"/>
      </w:tblGrid>
      <w:tr>
        <w:tc>
          <w:tcPr>
            <w:tcW w:type="dxa" w:w="8640"/>
            <w:shd w:val="clear" w:fill="FDECEA"/>
          </w:tcPr>
          <w:p>
            <w:r>
              <w:rPr>
                <w:b/>
                <w:color w:val="B91C1C"/>
                <w:sz w:val="22"/>
              </w:rPr>
              <w:t>A five-year dwell time is not bad luck — it is the predictable result of watching magnitudes instead of direction.</w:t>
            </w:r>
          </w:p>
        </w:tc>
      </w:tr>
    </w:tbl>
    <w:p/>
    <w:p>
      <w:r>
        <w:br w:type="page"/>
      </w:r>
    </w:p>
    <w:p>
      <w:pPr>
        <w:spacing w:before="40"/>
      </w:pPr>
      <w:r>
        <w:rPr>
          <w:b/>
          <w:color w:val="B91C1C"/>
          <w:sz w:val="30"/>
        </w:rPr>
        <w:t xml:space="preserve">3.  </w:t>
      </w:r>
      <w:r>
        <w:rPr>
          <w:b/>
          <w:color w:val="0D1B2A"/>
          <w:sz w:val="30"/>
        </w:rPr>
        <w:t>Why Current Tools Are Not Good Enough</w:t>
      </w:r>
    </w:p>
    <w:p>
      <w:r>
        <w:rPr>
          <w:i w:val="0"/>
        </w:rPr>
        <w:t>Commercial UEBA and SIEM analytics are mature and useful — but, by their publicly described methodology, they measure MAGNITUDE and rarity, not behavioral direction.</w:t>
      </w:r>
    </w:p>
    <w:p>
      <w:pPr>
        <w:pStyle w:val="ListBullet"/>
      </w:pPr>
      <w:r>
        <w:rPr>
          <w:b/>
        </w:rPr>
        <w:t xml:space="preserve">How they detect: </w:t>
      </w:r>
      <w:r>
        <w:t>Exabeam, Securonix, Microsoft Sentinel UEBA — statistical / p-value baselining, rarity- and magnitude-based scores, count- or TF-IDF-based peer grouping.</w:t>
      </w:r>
    </w:p>
    <w:p>
      <w:pPr>
        <w:pStyle w:val="ListBullet"/>
      </w:pPr>
      <w:r>
        <w:rPr>
          <w:b/>
        </w:rPr>
        <w:t xml:space="preserve">The GenAI in them: </w:t>
      </w:r>
      <w:r>
        <w:t>their 2024–2026 generative-AI features are SOC copilots and conversational layers — assistants, not the detection mechanism.</w:t>
      </w:r>
    </w:p>
    <w:p>
      <w:r>
        <w:rPr>
          <w:i w:val="0"/>
        </w:rPr>
        <w:t>The consequences for exactly the threats above:</w:t>
      </w:r>
    </w:p>
    <w:p>
      <w:pPr>
        <w:pStyle w:val="ListBullet"/>
      </w:pPr>
      <w:r>
        <w:rPr>
          <w:b/>
        </w:rPr>
        <w:t xml:space="preserve">Detection gap: </w:t>
      </w:r>
      <w:r>
        <w:t>on a controlled benchmark of four advanced, long-duration campaigns, traditional magnitude-based detectors caught at most ONE of four — the stealthy ones ranked among ordinary users.</w:t>
      </w:r>
    </w:p>
    <w:p>
      <w:pPr>
        <w:pStyle w:val="ListBullet"/>
      </w:pPr>
      <w:r>
        <w:rPr>
          <w:b/>
        </w:rPr>
        <w:t xml:space="preserve">Intelligence gap: </w:t>
      </w:r>
      <w:r>
        <w:t>even when one fires, the alert says only “anomalous” — no zone, no direction, no threat mapping — so every alert costs the same manual triage.</w:t>
      </w:r>
    </w:p>
    <w:tbl>
      <w:tblPr>
        <w:tblW w:type="auto" w:w="0"/>
        <w:jc w:val="center"/>
        <w:tblLook w:firstColumn="1" w:firstRow="1" w:lastColumn="0" w:lastRow="0" w:noHBand="0" w:noVBand="1" w:val="04A0"/>
      </w:tblPr>
      <w:tblGrid>
        <w:gridCol w:w="8640"/>
      </w:tblGrid>
      <w:tr>
        <w:tc>
          <w:tcPr>
            <w:tcW w:type="dxa" w:w="8640"/>
            <w:shd w:val="clear" w:fill="EAF2FB"/>
          </w:tcPr>
          <w:p>
            <w:r>
              <w:rPr>
                <w:b/>
                <w:color w:val="0D1B2A"/>
                <w:sz w:val="22"/>
              </w:rPr>
              <w:t>Two gaps, one root cause: tools that score each metric independently cannot see a coordinated change of behavior, and cannot explain the rare hit.</w:t>
            </w:r>
          </w:p>
        </w:tc>
      </w:tr>
    </w:tbl>
    <w:p/>
    <w:p>
      <w:r>
        <w:br w:type="page"/>
      </w:r>
    </w:p>
    <w:p>
      <w:pPr>
        <w:spacing w:before="40"/>
      </w:pPr>
      <w:r>
        <w:rPr>
          <w:b/>
          <w:color w:val="B91C1C"/>
          <w:sz w:val="30"/>
        </w:rPr>
        <w:t xml:space="preserve">4.  </w:t>
      </w:r>
      <w:r>
        <w:rPr>
          <w:b/>
          <w:color w:val="0D1B2A"/>
          <w:sz w:val="30"/>
        </w:rPr>
        <w:t>How We Solved It (High Level)</w:t>
      </w:r>
    </w:p>
    <w:p>
      <w:r>
        <w:rPr>
          <w:i w:val="0"/>
        </w:rPr>
        <w:t>V-Intelligence builds a DIGITAL TWIN of every entity — user, device, application, network segment, session — and detects by the direction that twin is drifting.</w:t>
      </w:r>
    </w:p>
    <w:p>
      <w:pPr>
        <w:pStyle w:val="ListBullet"/>
      </w:pPr>
      <w:r>
        <w:rPr>
          <w:b/>
        </w:rPr>
        <w:t xml:space="preserve">Digital twin: </w:t>
      </w:r>
      <w:r>
        <w:t>each entity is a living, multi-dimensional behavioral profile, tracked as a trajectory over time, not a single snapshot.</w:t>
      </w:r>
    </w:p>
    <w:p>
      <w:pPr>
        <w:pStyle w:val="ListBullet"/>
      </w:pPr>
      <w:r>
        <w:rPr>
          <w:b/>
        </w:rPr>
        <w:t xml:space="preserve">Behavior-as-language: </w:t>
      </w:r>
      <w:r>
        <w:t>behavior is serialized into language and embedded into one unified semantic space — bringing the representational power of large language models into the detection layer, coupled with rigorous mathematics.</w:t>
      </w:r>
    </w:p>
    <w:p>
      <w:pPr>
        <w:pStyle w:val="ListBullet"/>
      </w:pPr>
      <w:r>
        <w:rPr>
          <w:b/>
        </w:rPr>
        <w:t xml:space="preserve">Direction, not magnitude: </w:t>
      </w:r>
      <w:r>
        <w:t>we measure the DIRECTION of drift and project it onto named threat concepts mapped to MITRE ATT&amp;CK — so an alert says WHICH behavior changed and TOWARD WHAT pattern.</w:t>
      </w:r>
    </w:p>
    <w:p>
      <w:pPr>
        <w:pStyle w:val="ListBullet"/>
      </w:pPr>
      <w:r>
        <w:rPr>
          <w:b/>
        </w:rPr>
        <w:t xml:space="preserve">Fused &amp; explainable: </w:t>
      </w:r>
      <w:r>
        <w:t>peer-cohort comparison, change-point detection, and multi-phase fusion combine into one ranked, explained verdict that resists evasion.</w:t>
      </w:r>
    </w:p>
    <w:tbl>
      <w:tblPr>
        <w:tblW w:type="auto" w:w="0"/>
        <w:jc w:val="center"/>
        <w:tblLook w:firstColumn="1" w:firstRow="1" w:lastColumn="0" w:lastRow="0" w:noHBand="0" w:noVBand="1" w:val="04A0"/>
      </w:tblPr>
      <w:tblGrid>
        <w:gridCol w:w="8640"/>
      </w:tblGrid>
      <w:tr>
        <w:tc>
          <w:tcPr>
            <w:tcW w:type="dxa" w:w="8640"/>
            <w:shd w:val="clear" w:fill="E6F4EA"/>
          </w:tcPr>
          <w:p>
            <w:r>
              <w:rPr>
                <w:b/>
                <w:color w:val="1E8A49"/>
                <w:sz w:val="22"/>
              </w:rPr>
              <w:t>Where an LLM uses that semantic space to understand language, V-Intelligence uses it to understand behavior — and to say what an entity is becoming.</w:t>
            </w:r>
          </w:p>
        </w:tc>
      </w:tr>
    </w:tbl>
    <w:p/>
    <w:p>
      <w:r>
        <w:br w:type="page"/>
      </w:r>
    </w:p>
    <w:p>
      <w:pPr>
        <w:spacing w:before="40"/>
      </w:pPr>
      <w:r>
        <w:rPr>
          <w:b/>
          <w:color w:val="B91C1C"/>
          <w:sz w:val="30"/>
        </w:rPr>
        <w:t xml:space="preserve">5.  </w:t>
      </w:r>
      <w:r>
        <w:rPr>
          <w:b/>
          <w:color w:val="0D1B2A"/>
          <w:sz w:val="30"/>
        </w:rPr>
        <w:t>Results (Controlled Synthetic Evaluation)</w:t>
      </w:r>
    </w:p>
    <w:p>
      <w:r>
        <w:rPr>
          <w:i/>
          <w:color w:val="555555"/>
        </w:rPr>
        <w:t>Evaluation: 250 entities over ~485 days, with four embedded advanced campaigns — a patient insider, a slow command-and-control intrusion, and Volt- and Salt-Typhoon-class nation-state campaigns.</w:t>
      </w:r>
    </w:p>
    <w:tbl>
      <w:tblPr>
        <w:tblStyle w:val="LightGrid-Accent1"/>
        <w:tblW w:type="auto" w:w="0"/>
        <w:tblLook w:firstColumn="1" w:firstRow="1" w:lastColumn="0" w:lastRow="0" w:noHBand="0" w:noVBand="1" w:val="04A0"/>
      </w:tblPr>
      <w:tblGrid>
        <w:gridCol w:w="2160"/>
        <w:gridCol w:w="2160"/>
        <w:gridCol w:w="2160"/>
        <w:gridCol w:w="2160"/>
      </w:tblGrid>
      <w:tr>
        <w:tc>
          <w:tcPr>
            <w:tcW w:type="dxa" w:w="3456"/>
          </w:tcPr>
          <w:p>
            <w:r>
              <w:rPr>
                <w:b/>
              </w:rPr>
              <w:t>Approach</w:t>
            </w:r>
          </w:p>
        </w:tc>
        <w:tc>
          <w:tcPr>
            <w:tcW w:type="dxa" w:w="2160"/>
          </w:tcPr>
          <w:p>
            <w:r>
              <w:rPr>
                <w:b/>
              </w:rPr>
              <w:t>Campaigns caught (of 4)</w:t>
            </w:r>
          </w:p>
        </w:tc>
        <w:tc>
          <w:tcPr>
            <w:tcW w:type="dxa" w:w="2016"/>
          </w:tcPr>
          <w:p>
            <w:r>
              <w:rPr>
                <w:b/>
              </w:rPr>
              <w:t>False-positive rate</w:t>
            </w:r>
          </w:p>
        </w:tc>
        <w:tc>
          <w:tcPr>
            <w:tcW w:type="dxa" w:w="2448"/>
          </w:tcPr>
          <w:p>
            <w:r>
              <w:rPr>
                <w:b/>
              </w:rPr>
              <w:t>Directional explanation</w:t>
            </w:r>
          </w:p>
        </w:tc>
      </w:tr>
      <w:tr>
        <w:tc>
          <w:tcPr>
            <w:tcW w:type="dxa" w:w="3456"/>
          </w:tcPr>
          <w:p>
            <w:r>
              <w:t>Traditional magnitude-based</w:t>
              <w:br/>
              <w:t>(LOF, IForest, OCSVM, Z-Score)</w:t>
            </w:r>
          </w:p>
        </w:tc>
        <w:tc>
          <w:tcPr>
            <w:tcW w:type="dxa" w:w="2160"/>
          </w:tcPr>
          <w:p>
            <w:r>
              <w:t>0 – 1 of 4</w:t>
            </w:r>
          </w:p>
        </w:tc>
        <w:tc>
          <w:tcPr>
            <w:tcW w:type="dxa" w:w="2016"/>
          </w:tcPr>
          <w:p>
            <w:r>
              <w:t>4.5% – 14.6%</w:t>
            </w:r>
          </w:p>
        </w:tc>
        <w:tc>
          <w:tcPr>
            <w:tcW w:type="dxa" w:w="2448"/>
          </w:tcPr>
          <w:p>
            <w:r>
              <w:t>None</w:t>
            </w:r>
          </w:p>
        </w:tc>
      </w:tr>
      <w:tr>
        <w:tc>
          <w:tcPr>
            <w:tcW w:type="dxa" w:w="3456"/>
          </w:tcPr>
          <w:p>
            <w:r>
              <w:t>V-Intelligence composite</w:t>
            </w:r>
          </w:p>
        </w:tc>
        <w:tc>
          <w:tcPr>
            <w:tcW w:type="dxa" w:w="2160"/>
          </w:tcPr>
          <w:p>
            <w:r>
              <w:t>4 of 4</w:t>
            </w:r>
          </w:p>
        </w:tc>
        <w:tc>
          <w:tcPr>
            <w:tcW w:type="dxa" w:w="2016"/>
          </w:tcPr>
          <w:p>
            <w:r>
              <w:t>8.1%</w:t>
            </w:r>
          </w:p>
        </w:tc>
        <w:tc>
          <w:tcPr>
            <w:tcW w:type="dxa" w:w="2448"/>
          </w:tcPr>
          <w:p>
            <w:r>
              <w:t>Zone + direction + MITRE concept</w:t>
            </w:r>
          </w:p>
        </w:tc>
      </w:tr>
      <w:tr>
        <w:tc>
          <w:tcPr>
            <w:tcW w:type="dxa" w:w="3456"/>
          </w:tcPr>
          <w:p>
            <w:r>
              <w:t>V-Intelligence threat-profile detector</w:t>
            </w:r>
          </w:p>
        </w:tc>
        <w:tc>
          <w:tcPr>
            <w:tcW w:type="dxa" w:w="2160"/>
          </w:tcPr>
          <w:p>
            <w:r>
              <w:t>4 of 4</w:t>
            </w:r>
          </w:p>
        </w:tc>
        <w:tc>
          <w:tcPr>
            <w:tcW w:type="dxa" w:w="2016"/>
          </w:tcPr>
          <w:p>
            <w:r>
              <w:t>0%</w:t>
            </w:r>
          </w:p>
        </w:tc>
        <w:tc>
          <w:tcPr>
            <w:tcW w:type="dxa" w:w="2448"/>
          </w:tcPr>
          <w:p>
            <w:r>
              <w:t>Named technique (C2-beacon, DGA, LOTL, etc.)</w:t>
            </w:r>
          </w:p>
        </w:tc>
      </w:tr>
    </w:tbl>
    <w:p/>
    <w:p>
      <w:pPr>
        <w:pStyle w:val="ListBullet"/>
      </w:pPr>
      <w:r>
        <w:rPr>
          <w:b/>
        </w:rPr>
        <w:t xml:space="preserve">Primary detection: </w:t>
      </w:r>
      <w:r>
        <w:t>the multi-front threat-profile detector — the primary detector — caught all four by named known-bad technique (C2-beacon, DGA, LOTL-process, cohort-rare access, recon-fanout, insider-collection) at ZERO false positives.</w:t>
      </w:r>
    </w:p>
    <w:p>
      <w:pPr>
        <w:pStyle w:val="ListBullet"/>
      </w:pPr>
      <w:r>
        <w:rPr>
          <w:b/>
        </w:rPr>
        <w:t xml:space="preserve">Composite: </w:t>
      </w:r>
      <w:r>
        <w:t>embedding composite scoring also caught all four — including BOTH Volt and Salt Typhoon — at the operating point that recalls every campaign (8.1% false positives), though it cleanly separates only two of the four (USR-118, USR-156); ranking AUC ≈ 0.98.</w:t>
      </w:r>
    </w:p>
    <w:p>
      <w:pPr>
        <w:pStyle w:val="ListBullet"/>
      </w:pPr>
      <w:r>
        <w:rPr>
          <w:b/>
        </w:rPr>
        <w:t xml:space="preserve">The contrast: </w:t>
      </w:r>
      <w:r>
        <w:t>traditional detectors caught at most one of the four and ranked the stealthy campaigns among ordinary users.</w:t>
      </w:r>
    </w:p>
    <w:tbl>
      <w:tblPr>
        <w:tblW w:type="auto" w:w="0"/>
        <w:jc w:val="center"/>
        <w:tblLook w:firstColumn="1" w:firstRow="1" w:lastColumn="0" w:lastRow="0" w:noHBand="0" w:noVBand="1" w:val="04A0"/>
      </w:tblPr>
      <w:tblGrid>
        <w:gridCol w:w="8640"/>
      </w:tblGrid>
      <w:tr>
        <w:tc>
          <w:tcPr>
            <w:tcW w:type="dxa" w:w="8640"/>
            <w:shd w:val="clear" w:fill="EAF2FB"/>
          </w:tcPr>
          <w:p>
            <w:r>
              <w:rPr>
                <w:b/>
                <w:color w:val="0D1B2A"/>
                <w:sz w:val="22"/>
              </w:rPr>
              <w:t>Surfacing a five-year-invisible, living-off-the-land campaign AT ALL — with an explanation an analyst can act on — is the capability gap this closes.</w:t>
            </w:r>
          </w:p>
        </w:tc>
      </w:tr>
    </w:tbl>
    <w:p/>
    <w:p>
      <w:r>
        <w:rPr>
          <w:i/>
          <w:color w:val="555555"/>
        </w:rPr>
        <w:t>Scope: all figures are from synthetic data and must be re-validated on operational telemetry. A scoped pilot on real data is the recommended next step.</w:t>
      </w:r>
    </w:p>
    <w:p>
      <w:r>
        <w:br w:type="page"/>
      </w:r>
    </w:p>
    <w:p>
      <w:pPr>
        <w:spacing w:before="40"/>
      </w:pPr>
      <w:r>
        <w:rPr>
          <w:b/>
          <w:color w:val="B91C1C"/>
          <w:sz w:val="30"/>
        </w:rPr>
        <w:t xml:space="preserve">6.  </w:t>
      </w:r>
      <w:r>
        <w:rPr>
          <w:b/>
          <w:color w:val="0D1B2A"/>
          <w:sz w:val="30"/>
        </w:rPr>
        <w:t>Preemptive Cybersecurity &amp; Advanced Use Cases</w:t>
      </w:r>
    </w:p>
    <w:p>
      <w:pPr>
        <w:spacing w:before="80"/>
      </w:pPr>
      <w:r>
        <w:rPr>
          <w:b/>
          <w:color w:val="1B4F72"/>
          <w:sz w:val="24"/>
        </w:rPr>
        <w:t>Preemptive cybersecurity — act before compromise completes</w:t>
      </w:r>
    </w:p>
    <w:p>
      <w:r>
        <w:rPr>
          <w:i w:val="0"/>
        </w:rPr>
        <w:t>Because the signal is a directional drift that builds over weeks and months, V-Intelligence is an EARLY-WARNING capability, not just post-hoc detection. The five-year Volt Typhoon dwell time is precisely the window this is designed to close.</w:t>
      </w:r>
    </w:p>
    <w:p>
      <w:pPr>
        <w:pStyle w:val="ListBullet"/>
      </w:pPr>
      <w:r>
        <w:rPr>
          <w:b/>
        </w:rPr>
        <w:t xml:space="preserve">Get-left-of-impact: </w:t>
      </w:r>
      <w:r>
        <w:t>insider-risk and account-takeover early warning before exfiltration.</w:t>
      </w:r>
    </w:p>
    <w:p>
      <w:pPr>
        <w:pStyle w:val="ListBullet"/>
      </w:pPr>
      <w:r>
        <w:rPr>
          <w:b/>
        </w:rPr>
        <w:t xml:space="preserve">Continuous monitoring: </w:t>
      </w:r>
      <w:r>
        <w:t>configuration-drift and continuous-monitoring support for RMF / ATO and ongoing authorization.</w:t>
      </w:r>
    </w:p>
    <w:p>
      <w:pPr>
        <w:pStyle w:val="ListBullet"/>
      </w:pPr>
      <w:r>
        <w:rPr>
          <w:b/>
        </w:rPr>
        <w:t xml:space="preserve">Analyst-ready: </w:t>
      </w:r>
      <w:r>
        <w:t>explainable, MITRE-mapped outputs that fit human-on-the-loop decision authority.</w:t>
      </w:r>
    </w:p>
    <w:p>
      <w:pPr>
        <w:spacing w:before="80"/>
      </w:pPr>
      <w:r>
        <w:rPr>
          <w:b/>
          <w:color w:val="1B4F72"/>
          <w:sz w:val="24"/>
        </w:rPr>
        <w:t>One architecture, many missions</w:t>
      </w:r>
    </w:p>
    <w:p>
      <w:r>
        <w:rPr>
          <w:i w:val="0"/>
        </w:rPr>
        <w:t>The same digital-twin + behavioral-drift engine is domain-agnostic and has been applied beyond cyber:</w:t>
      </w:r>
    </w:p>
    <w:p>
      <w:pPr>
        <w:pStyle w:val="ListBullet"/>
      </w:pPr>
      <w:r>
        <w:rPr>
          <w:b/>
        </w:rPr>
        <w:t xml:space="preserve">Defense supply chain: </w:t>
      </w:r>
      <w:r>
        <w:t>supplier and supply-chain risk (counterfeit, adversary-nation sourcing, concentration).</w:t>
      </w:r>
    </w:p>
    <w:p>
      <w:pPr>
        <w:pStyle w:val="ListBullet"/>
      </w:pPr>
      <w:r>
        <w:rPr>
          <w:b/>
        </w:rPr>
        <w:t xml:space="preserve">Logistics / DLA: </w:t>
      </w:r>
      <w:r>
        <w:t>drift-aware demand forecasting and capacity planning.</w:t>
      </w:r>
    </w:p>
    <w:p>
      <w:pPr>
        <w:pStyle w:val="ListBullet"/>
      </w:pPr>
      <w:r>
        <w:rPr>
          <w:b/>
        </w:rPr>
        <w:t xml:space="preserve">Readiness: </w:t>
      </w:r>
      <w:r>
        <w:t>prescriptive maintenance — predict equipment failure from behavioral drift.</w:t>
      </w:r>
    </w:p>
    <w:p>
      <w:pPr>
        <w:pStyle w:val="ListBullet"/>
      </w:pPr>
      <w:r>
        <w:rPr>
          <w:b/>
        </w:rPr>
        <w:t xml:space="preserve">Mission integrity: </w:t>
      </w:r>
      <w:r>
        <w:t>fraud / improper-payment and counter-intelligence pattern detection.</w:t>
      </w:r>
    </w:p>
    <w:tbl>
      <w:tblPr>
        <w:tblW w:type="auto" w:w="0"/>
        <w:jc w:val="center"/>
        <w:tblLook w:firstColumn="1" w:firstRow="1" w:lastColumn="0" w:lastRow="0" w:noHBand="0" w:noVBand="1" w:val="04A0"/>
      </w:tblPr>
      <w:tblGrid>
        <w:gridCol w:w="8640"/>
      </w:tblGrid>
      <w:tr>
        <w:tc>
          <w:tcPr>
            <w:tcW w:type="dxa" w:w="8640"/>
            <w:shd w:val="clear" w:fill="E6F4EA"/>
          </w:tcPr>
          <w:p>
            <w:r>
              <w:rPr>
                <w:b/>
                <w:color w:val="1E8A49"/>
                <w:sz w:val="22"/>
              </w:rPr>
              <w:t>Model- and cloud-agnostic, air-gap capable, US-developed and patent-pending — a capability that complements existing tools rather than replacing them.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