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Insider Threats and Nation-State Intrusions:</w:t>
        <w:br/>
        <w:t>Traditional Anomaly Detection vs. V-Intelligence UEBA</w:t>
      </w:r>
    </w:p>
    <w:p>
      <w:pPr>
        <w:spacing w:after="40"/>
      </w:pPr>
      <w:r>
        <w:rPr>
          <w:b w:val="0"/>
          <w:i w:val="0"/>
          <w:color w:val="555F6B"/>
          <w:sz w:val="25"/>
        </w:rPr>
        <w:t>A business and technology overview — what the innovation is, what it delivers, and what the evidence shows</w:t>
      </w:r>
    </w:p>
    <w:p>
      <w:pPr>
        <w:spacing w:after="40"/>
      </w:pPr>
      <w:r>
        <w:rPr>
          <w:b w:val="0"/>
          <w:i w:val="0"/>
          <w:color w:val="555F6B"/>
          <w:sz w:val="19"/>
        </w:rPr>
        <w:t>22nd Century Technologies, Inc.  ·  V-Intelligence UEBA Program  ·  June 2026  ·  Business Edition</w:t>
      </w:r>
    </w:p>
    <w:p>
      <w:pPr>
        <w:spacing w:after="80"/>
      </w:pPr>
      <w:r>
        <w:rPr>
          <w:b w:val="0"/>
          <w:i/>
          <w:color w:val="C25A12"/>
          <w:sz w:val="19"/>
        </w:rPr>
        <w:t>Disclosure note: this edition describes the architecture and the innovation, and reports measured results. The exact detection logic — formulas, thresholds, and scoring weights — is proprietary and is withheld here; it is available in the full technical edition under NDA (non-disclosure agreement).</w:t>
      </w:r>
    </w:p>
    <w:p>
      <w:pPr>
        <w:spacing w:after="160"/>
      </w:pPr>
      <w:r>
        <w:rPr>
          <w:b w:val="0"/>
          <w:i/>
          <w:color w:val="C25A12"/>
          <w:sz w:val="19"/>
        </w:rPr>
        <w:t>Data note: all results in this paper come from a synthetic (simulated) enterprise built to prove the concept — 250 users, 485 days, roughly 145 million log events across seven sources, with four hidden long-duration attack campaigns. They must be re-validated on real production telemetry before any operational claim.</w:t>
      </w:r>
    </w:p>
    <w:p>
      <w:pPr>
        <w:spacing w:before="280" w:after="80"/>
      </w:pPr>
      <w:r>
        <w:rPr>
          <w:b/>
          <w:color w:val="0B1F3A"/>
          <w:sz w:val="30"/>
        </w:rPr>
        <w:t>1.  Executive Summary</w:t>
      </w:r>
    </w:p>
    <w:p>
      <w:pPr>
        <w:spacing w:after="120"/>
      </w:pPr>
      <w:r>
        <w:rPr>
          <w:b w:val="0"/>
          <w:i w:val="0"/>
          <w:sz w:val="21"/>
        </w:rPr>
        <w:t>The attacks that hurt the most do not look like attacks. An insider with valid credentials opens the same number of files as always — but quietly shifts from public documents to restricted ones. A nation-state implant "phones home" two or three times a day for over a year, never enough to trip any threshold. The Volt Typhoon actors — who, per the U.S. Cybersecurity and Infrastructure Security Agency (CISA), dwelled inside U.S. critical infrastructure undetected for at least five years — used only the operating system's own signed tools, so nothing ever looked like malware. These adversaries stay inside authorized activity and inside normal statistical ranges, which is precisely where traditional security analytics cannot see.</w:t>
      </w:r>
    </w:p>
    <w:p>
      <w:pPr>
        <w:spacing w:after="120"/>
      </w:pPr>
      <w:r>
        <w:rPr>
          <w:b w:val="0"/>
          <w:i w:val="0"/>
          <w:sz w:val="21"/>
        </w:rPr>
        <w:t>UEBA (User and Entity Behavior Analytics) is the discipline of finding such threats by modeling how each user and system normally behaves. Traditional UEBA reduces behavior to numbers — counts, ratios, byte volumes — and flags statistical outliers. V-Intelligence UEBA does something structurally different: it maintains a living digital twin of every entity — think of a patient's medical chart, which does not just record today's temperature but accumulates history and context so a doctor can read the trend. The twin captures what the behavior means, not just how big the numbers are, and the system watches which direction it is moving — and names that direction in the vocabulary of MITRE ATT&amp;CK, the industry-standard catalog of adversary techniques.</w:t>
      </w:r>
    </w:p>
    <w:p>
      <w:pPr>
        <w:spacing w:after="80"/>
      </w:pPr>
      <w:r>
        <w:rPr>
          <w:b w:val="0"/>
          <w:i w:val="0"/>
          <w:sz w:val="21"/>
        </w:rPr>
        <w:t>The proof is a blind test: one simulated enterprise of 250 users with four stealth campaigns hidden inside — a 14-month insider, a 417-day slow APT (Advanced Persistent Threat), a Volt Typhoon-style "living off the land" (LoTL) campaign, and a Salt Typhoon-style telecom infrastructure pivot. Three generations of detection ran on the same data:</w:t>
      </w:r>
    </w:p>
    <w:p>
      <w:pPr>
        <w:pStyle w:val="ListBullet"/>
        <w:spacing w:after="60"/>
      </w:pPr>
      <w:r>
        <w:rPr>
          <w:b/>
          <w:sz w:val="21"/>
        </w:rPr>
        <w:t xml:space="preserve">Traditional (Tier 1): </w:t>
      </w:r>
      <w:r>
        <w:rPr>
          <w:sz w:val="21"/>
        </w:rPr>
        <w:t xml:space="preserve"> four of the five traditional detectors caught 0 of 4 campaigns; the best (Z-Score) caught 1 of 4 — and even then said only "anomalous," with no indication of why.</w:t>
      </w:r>
    </w:p>
    <w:p>
      <w:pPr>
        <w:pStyle w:val="ListBullet"/>
        <w:spacing w:after="60"/>
      </w:pPr>
      <w:r>
        <w:rPr>
          <w:b/>
          <w:sz w:val="21"/>
        </w:rPr>
        <w:t xml:space="preserve">Intermediate (Tier 2): </w:t>
      </w:r>
      <w:r>
        <w:rPr>
          <w:sz w:val="21"/>
        </w:rPr>
        <w:t xml:space="preserve"> measuring behavioral drift in semantic space begins to surface the insider and the slow APT that magnitude-based methods cannot see.</w:t>
      </w:r>
    </w:p>
    <w:p>
      <w:pPr>
        <w:pStyle w:val="ListBullet"/>
        <w:spacing w:after="60"/>
      </w:pPr>
      <w:r>
        <w:rPr>
          <w:b/>
          <w:sz w:val="21"/>
        </w:rPr>
        <w:t xml:space="preserve">V-Intelligence (Tier 3): </w:t>
      </w:r>
      <w:r>
        <w:rPr>
          <w:sz w:val="21"/>
        </w:rPr>
        <w:t xml:space="preserve"> the digital-twin composite ranked all 4 of 4 campaigns in the top tier of 250 entities, at a false-positive (FP) rate of 8.1% — 20 of 246 normal users above the operating threshold — with each alert explaining which behavioral zone changed, in what direction, and toward which named threat pattern.</w:t>
      </w:r>
    </w:p>
    <w:p>
      <w:pPr>
        <w:spacing w:after="120"/>
      </w:pPr>
      <w:r>
        <w:rPr>
          <w:b/>
          <w:i w:val="0"/>
          <w:sz w:val="21"/>
        </w:rPr>
        <w:t>The Salt Typhoon-style campaign — the class of intrusion that compromised U.S. telecommunications carriers in the real world — ranked #1 of all 250 entities, even though its largest measured deviation on any traditional feature was 1.71 standard deviations: deep inside the normal statistical band, invisible to every traditional detector. The Volt Typhoon-style campaign, the hardest threat class in existence, surfaced in the top ~10%; the lone traditional catch on the whole benchmark was Z-Score's bare "anomalous" flag on this same entity — true, but unexplained, indistinguishable from a busy week. Surfacing the five-year-invisible threat with an explanation is the capability gap this approach closes.</w:t>
      </w:r>
    </w:p>
    <w:p>
      <w:pPr>
        <w:spacing w:before="280" w:after="80"/>
      </w:pPr>
      <w:r>
        <w:rPr>
          <w:b/>
          <w:color w:val="0B1F3A"/>
          <w:sz w:val="30"/>
        </w:rPr>
        <w:t>2.  The Problem: Attacks That Hide Inside Normal</w:t>
      </w:r>
    </w:p>
    <w:p>
      <w:pPr>
        <w:spacing w:after="120"/>
      </w:pPr>
      <w:r>
        <w:rPr>
          <w:b w:val="0"/>
          <w:i w:val="0"/>
          <w:sz w:val="21"/>
        </w:rPr>
        <w:t>Security teams already drown in alerts. The question UEBA must answer is not "did a metric spike?" but "which entities are quietly becoming dangerous?" The four campaigns in the blind test were engineered to embody the hardest real-world classes:</w:t>
      </w:r>
    </w:p>
    <w:p>
      <w:pPr>
        <w:pStyle w:val="ListBullet"/>
        <w:spacing w:after="60"/>
      </w:pPr>
      <w:r>
        <w:rPr>
          <w:b/>
          <w:sz w:val="21"/>
        </w:rPr>
        <w:t xml:space="preserve">The insider: </w:t>
      </w:r>
      <w:r>
        <w:rPr>
          <w:sz w:val="21"/>
        </w:rPr>
        <w:t xml:space="preserve"> valid credentials, the same volume of files — but a gradual shift toward restricted and confidential content and off-hours activity, escalating over 14 months.</w:t>
      </w:r>
    </w:p>
    <w:p>
      <w:pPr>
        <w:pStyle w:val="ListBullet"/>
        <w:spacing w:after="60"/>
      </w:pPr>
      <w:r>
        <w:rPr>
          <w:b/>
          <w:sz w:val="21"/>
        </w:rPr>
        <w:t xml:space="preserve">The slow APT: </w:t>
      </w:r>
      <w:r>
        <w:rPr>
          <w:sz w:val="21"/>
        </w:rPr>
        <w:t xml:space="preserve"> command-and-control (C2) beaconing — the implant checking in with its operator — just two or three times a day to new infrastructure, for 417 days. No single day exceeds any threshold.</w:t>
      </w:r>
    </w:p>
    <w:p>
      <w:pPr>
        <w:pStyle w:val="ListBullet"/>
        <w:spacing w:after="60"/>
      </w:pPr>
      <w:r>
        <w:rPr>
          <w:b/>
          <w:sz w:val="21"/>
        </w:rPr>
        <w:t xml:space="preserve">Living off the land (LoTL): </w:t>
      </w:r>
      <w:r>
        <w:rPr>
          <w:sz w:val="21"/>
        </w:rPr>
        <w:t xml:space="preserve"> the attacker uses only native, signed administrative tools (the Volt Typhoon pattern), so no malware signature ever exists; 412 days.</w:t>
      </w:r>
    </w:p>
    <w:p>
      <w:pPr>
        <w:pStyle w:val="ListBullet"/>
        <w:spacing w:after="60"/>
      </w:pPr>
      <w:r>
        <w:rPr>
          <w:b/>
          <w:sz w:val="21"/>
        </w:rPr>
        <w:t xml:space="preserve">The infrastructure pivot: </w:t>
      </w:r>
      <w:r>
        <w:rPr>
          <w:sz w:val="21"/>
        </w:rPr>
        <w:t xml:space="preserve"> quiet movement across internal network segments (the Salt Typhoon pattern observed in telecom carriers); 412 days.</w:t>
      </w:r>
    </w:p>
    <w:p>
      <w:pPr>
        <w:spacing w:after="120"/>
      </w:pPr>
      <w:r>
        <w:rPr>
          <w:b w:val="0"/>
          <w:i w:val="0"/>
          <w:sz w:val="21"/>
        </w:rPr>
        <w:t>Each of these operates within authorized activity and within normal statistical ranges. The defensive question is therefore "what is this entity becoming, and is that direction dangerous?" — and the central claim of this paper is that no amount of tuning makes a magnitude detector answer a direction question. It requires a different representation of behavior.</w:t>
      </w:r>
    </w:p>
    <w:p>
      <w:pPr>
        <w:spacing w:before="280" w:after="80"/>
      </w:pPr>
      <w:r>
        <w:rPr>
          <w:b/>
          <w:color w:val="0B1F3A"/>
          <w:sz w:val="30"/>
        </w:rPr>
        <w:t>3.  The Traditional Approach (Tier 1)</w:t>
      </w:r>
    </w:p>
    <w:p>
      <w:pPr>
        <w:spacing w:after="120"/>
      </w:pPr>
      <w:r>
        <w:rPr>
          <w:b w:val="0"/>
          <w:i w:val="0"/>
          <w:sz w:val="21"/>
        </w:rPr>
        <w:t>The traditional pipeline is fast, mature, and well understood — and it is the baseline V-Intelligence is measured against. Raw logs from seven sources — logins, file access, network traffic, DNS (Domain Name System) lookups, endpoint telemetry, application activity, privileged operations — are condensed into 31 numeric features per user: counts, ratios, and volumes. Five families of statistical and machine-learning outlier detectors then flag users whose numbers sit far from the crowd, including Isolation Forest, One-Class SVM (Support Vector Machine), Local Outlier Factor (LOF), Z-Score (how many standard deviations from baseline), and a feature-level CUSUM (cumulative-sum change detector, which accumulates small week-over-week changes to catch slow trends).</w:t>
      </w:r>
    </w:p>
    <w:p>
      <w:pPr>
        <w:spacing w:before="160" w:after="60"/>
      </w:pPr>
      <w:r>
        <w:rPr>
          <w:b/>
          <w:color w:val="C25A12"/>
          <w:sz w:val="24"/>
        </w:rPr>
        <w:t>Why it is not enough</w:t>
      </w:r>
    </w:p>
    <w:p>
      <w:pPr>
        <w:pStyle w:val="ListBullet"/>
        <w:spacing w:after="60"/>
      </w:pPr>
      <w:r>
        <w:rPr>
          <w:b/>
          <w:sz w:val="21"/>
        </w:rPr>
        <w:t xml:space="preserve">No sense of meaning: </w:t>
      </w:r>
      <w:r>
        <w:rPr>
          <w:sz w:val="21"/>
        </w:rPr>
        <w:t xml:space="preserve"> a shift from public to restricted files at a constant file count produces almost no numeric movement. The insider changed what they accessed, not how much — invisible to magnitude.</w:t>
      </w:r>
    </w:p>
    <w:p>
      <w:pPr>
        <w:pStyle w:val="ListBullet"/>
        <w:spacing w:after="60"/>
      </w:pPr>
      <w:r>
        <w:rPr>
          <w:b/>
          <w:sz w:val="21"/>
        </w:rPr>
        <w:t xml:space="preserve">No direction: </w:t>
      </w:r>
      <w:r>
        <w:rPr>
          <w:sz w:val="21"/>
        </w:rPr>
        <w:t xml:space="preserve"> even when a detector fires, the alert says only "anomalous." It cannot say which aspect of behavior changed, in which direction, or toward what threat — so a genuine insider and a developer who had a busy week generate identical alerts, and every one demands the same manual triage.</w:t>
      </w:r>
    </w:p>
    <w:p>
      <w:pPr>
        <w:pStyle w:val="ListBullet"/>
        <w:spacing w:after="60"/>
      </w:pPr>
      <w:r>
        <w:rPr>
          <w:b/>
          <w:sz w:val="21"/>
        </w:rPr>
        <w:t xml:space="preserve">No combination: </w:t>
      </w:r>
      <w:r>
        <w:rPr>
          <w:sz w:val="21"/>
        </w:rPr>
        <w:t xml:space="preserve"> each feature is an independent axis; "off-hours logins + restricted files + high clearance" is never read as one combined pattern.</w:t>
      </w:r>
    </w:p>
    <w:p>
      <w:pPr>
        <w:pStyle w:val="ListBullet"/>
        <w:spacing w:after="60"/>
      </w:pPr>
      <w:r>
        <w:rPr>
          <w:b/>
          <w:sz w:val="21"/>
        </w:rPr>
        <w:t xml:space="preserve">Scale dominance: </w:t>
      </w:r>
      <w:r>
        <w:rPr>
          <w:sz w:val="21"/>
        </w:rPr>
        <w:t xml:space="preserve"> high-variance features such as bytes transferred numerically swamp the subtle ratios that actually carry the insider signal.</w:t>
      </w:r>
    </w:p>
    <w:p>
      <w:pPr>
        <w:spacing w:after="120"/>
      </w:pPr>
      <w:r>
        <w:rPr>
          <w:b w:val="0"/>
          <w:i w:val="0"/>
          <w:sz w:val="21"/>
        </w:rPr>
        <w:t>On the blind test the consequence is stark: Isolation Forest 0 of 4 (5.3% FP), LOF 0 of 4 (4.5% FP), One-Class SVM 0 of 4 (14.6% FP), Z-Score 1 of 4 (9.8% FP), and feature-CUSUM 0 of 4 (10.2% FP). The campaigns were engineered to stay within per-feature norms — and they did.</w:t>
      </w:r>
    </w:p>
    <w:p>
      <w:pPr>
        <w:spacing w:before="280" w:after="80"/>
      </w:pPr>
      <w:r>
        <w:rPr>
          <w:b/>
          <w:color w:val="0B1F3A"/>
          <w:sz w:val="30"/>
        </w:rPr>
        <w:t>4.  The Intermediate Step (Tier 2): Drift With Direction</w:t>
      </w:r>
    </w:p>
    <w:p>
      <w:pPr>
        <w:spacing w:after="120"/>
      </w:pPr>
      <w:r>
        <w:rPr>
          <w:b w:val="0"/>
          <w:i w:val="0"/>
          <w:sz w:val="21"/>
        </w:rPr>
        <w:t>The first breakthrough is representational. Instead of feeding raw numbers to a detector, each user's weekly behavior is written out as a short analyst-style narrative — not "restricted_ratio = 0.15" but "elevated data-access anomaly: restricted-file ratio at a high percentile, roughly 12 times this employee's own baseline, trend rising." That narrative is converted into an embedding: a long numeric vector that captures the meaning of the text. Embeddings are the core representational machinery inside large language models, repurposed here to understand behavior instead of language. Behaviors that mean similar things land near each other on this "map of meaning," even when their raw numbers differ.</w:t>
      </w:r>
    </w:p>
    <w:p>
      <w:pPr>
        <w:spacing w:after="120"/>
      </w:pPr>
      <w:r>
        <w:rPr>
          <w:b w:val="0"/>
          <w:i w:val="0"/>
          <w:sz w:val="21"/>
        </w:rPr>
        <w:t>On that map, two questions become measurable that no threshold can ask. How far did the entity move this week (drift magnitude)? And in which direction (drift direction) — compared against a library of pre-positioned threat concepts such as data exfiltration, C2 beaconing, and lateral movement, each mapped to MITRE ATT&amp;CK techniques? A cumulative drift detector accumulates the tiny weekly steps that a per-week test misses.</w:t>
      </w:r>
    </w:p>
    <w:p>
      <w:pPr>
        <w:spacing w:after="120"/>
      </w:pPr>
      <w:r>
        <w:rPr>
          <w:b w:val="0"/>
          <w:i w:val="0"/>
          <w:sz w:val="21"/>
        </w:rPr>
        <w:t>Why this was still not enough: Tier 2 collapses the whole entity into one blended profile. A real intrusion typically changes one aspect of behavior — the network footprint, say — while everything else stays normal. Averaged into a single vector, that one-zone signal is diluted by four stable zones. The dilution problem is what motivates the full digital twin.</w:t>
      </w:r>
    </w:p>
    <w:p>
      <w:pPr>
        <w:spacing w:before="280" w:after="80"/>
      </w:pPr>
      <w:r>
        <w:rPr>
          <w:b/>
          <w:color w:val="0B1F3A"/>
          <w:sz w:val="30"/>
        </w:rPr>
        <w:t>5.  The V-Intelligence Approach (Tier 3): the Living Digital Twin</w:t>
      </w:r>
    </w:p>
    <w:p>
      <w:pPr>
        <w:spacing w:after="120"/>
      </w:pPr>
      <w:r>
        <w:rPr>
          <w:b w:val="0"/>
          <w:i w:val="0"/>
          <w:sz w:val="21"/>
        </w:rPr>
        <w:t>V-Intelligence decomposes every entity into five behavioral zones, each described and embedded independently so a signal in one zone is never averaged away by the stable ones: identity (role, department, clearance — mostly static, and a change is itself a signal), access pattern (logins), data behavior (files), network footprint (traffic and DNS), and risk posture (endpoint telemetry). The zone descriptions deliberately keep qualitative detail that numeric features throw away — actual directory names, external addresses, domain names — which is part of why direction becomes measurable.</w:t>
      </w:r>
    </w:p>
    <w:p>
      <w:pPr>
        <w:spacing w:after="120"/>
      </w:pPr>
      <w:r>
        <w:rPr>
          <w:b w:val="0"/>
          <w:i w:val="0"/>
          <w:sz w:val="21"/>
        </w:rPr>
        <w:t>The twin is re-profiled weekly, so over months it traces a trajectory through the map of meaning: how fast it is moving, whether it is accelerating, whether one zone is drifting while the others hold still ("identity stable but network footprint drifting" is a classic intrusion signature). Relationships between entities are profiled too, so a change in who talks to what is visible.</w:t>
      </w:r>
    </w:p>
    <w:p>
      <w:pPr>
        <w:spacing w:before="120" w:after="0"/>
        <w:jc w:val="center"/>
      </w:pPr>
      <w:r>
        <w:drawing>
          <wp:inline xmlns:a="http://schemas.openxmlformats.org/drawingml/2006/main" xmlns:pic="http://schemas.openxmlformats.org/drawingml/2006/picture">
            <wp:extent cx="5852160" cy="2591671"/>
            <wp:docPr id="1" name="Picture 1"/>
            <wp:cNvGraphicFramePr>
              <a:graphicFrameLocks noChangeAspect="1"/>
            </wp:cNvGraphicFramePr>
            <a:graphic>
              <a:graphicData uri="http://schemas.openxmlformats.org/drawingml/2006/picture">
                <pic:pic>
                  <pic:nvPicPr>
                    <pic:cNvPr id="0" name="fig2_spaces.png"/>
                    <pic:cNvPicPr/>
                  </pic:nvPicPr>
                  <pic:blipFill>
                    <a:blip r:embed="rId9"/>
                    <a:stretch>
                      <a:fillRect/>
                    </a:stretch>
                  </pic:blipFill>
                  <pic:spPr>
                    <a:xfrm>
                      <a:off x="0" y="0"/>
                      <a:ext cx="5852160" cy="2591671"/>
                    </a:xfrm>
                    <a:prstGeom prst="rect"/>
                  </pic:spPr>
                </pic:pic>
              </a:graphicData>
            </a:graphic>
          </wp:inline>
        </w:drawing>
      </w:r>
    </w:p>
    <w:p>
      <w:pPr>
        <w:spacing w:after="160"/>
        <w:jc w:val="center"/>
      </w:pPr>
      <w:r>
        <w:rPr>
          <w:i/>
          <w:color w:val="555F6B"/>
          <w:sz w:val="17"/>
        </w:rPr>
        <w:t>Figure 1 — Why representation matters (illustrative). Left: in numeric feature space the insider is indistinguishable from the crowd — the file count never changed. Right: on the semantic "map of meaning," the same insider drifts week by week toward the data-exfiltration concept region. The insider changed what they accessed, not how much: invisible to magnitude, visible to meaning.</w:t>
      </w:r>
    </w:p>
    <w:p>
      <w:pPr>
        <w:spacing w:before="160" w:after="60"/>
      </w:pPr>
      <w:r>
        <w:rPr>
          <w:b/>
          <w:color w:val="C25A12"/>
          <w:sz w:val="24"/>
        </w:rPr>
        <w:t>Five questions, one verdict</w:t>
      </w:r>
    </w:p>
    <w:p>
      <w:pPr>
        <w:spacing w:after="120"/>
      </w:pPr>
      <w:r>
        <w:rPr>
          <w:b w:val="0"/>
          <w:i w:val="0"/>
          <w:sz w:val="21"/>
        </w:rPr>
        <w:t>A single drifting signal is not proof of compromise. The composite scorer interrogates each twin with five independent questions, then fuses the answers into one ranked score. (What each phase asks is described below; the exact weights and thresholds are proprietary and withheld in this edition.)</w:t>
      </w:r>
    </w:p>
    <w:tbl>
      <w:tblPr>
        <w:tblStyle w:val="TableGrid"/>
        <w:tblW w:type="auto" w:w="0"/>
        <w:jc w:val="center"/>
        <w:tblLook w:firstColumn="1" w:firstRow="1" w:lastColumn="0" w:lastRow="0" w:noHBand="0" w:noVBand="1" w:val="04A0"/>
      </w:tblPr>
      <w:tblGrid>
        <w:gridCol w:w="4896"/>
        <w:gridCol w:w="4896"/>
      </w:tblGrid>
      <w:tr>
        <w:tc>
          <w:tcPr>
            <w:tcW w:type="dxa" w:w="2448"/>
            <w:shd w:val="clear" w:fill="0B1F3A"/>
          </w:tcPr>
          <w:p>
            <w:pPr>
              <w:spacing w:after="40" w:before="40"/>
            </w:pPr>
            <w:r/>
            <w:r>
              <w:rPr>
                <w:rFonts w:ascii="Calibri" w:hAnsi="Calibri"/>
                <w:b/>
                <w:color w:val="FFFFFF"/>
                <w:sz w:val="19"/>
              </w:rPr>
              <w:t>Scoring phase</w:t>
            </w:r>
          </w:p>
        </w:tc>
        <w:tc>
          <w:tcPr>
            <w:tcW w:type="dxa" w:w="7488"/>
            <w:shd w:val="clear" w:fill="0B1F3A"/>
          </w:tcPr>
          <w:p>
            <w:pPr>
              <w:spacing w:after="40" w:before="40"/>
            </w:pPr>
            <w:r/>
            <w:r>
              <w:rPr>
                <w:rFonts w:ascii="Calibri" w:hAnsi="Calibri"/>
                <w:b/>
                <w:color w:val="FFFFFF"/>
                <w:sz w:val="19"/>
              </w:rPr>
              <w:t>The question it asks</w:t>
            </w:r>
          </w:p>
        </w:tc>
      </w:tr>
      <w:tr>
        <w:tc>
          <w:tcPr>
            <w:tcW w:type="dxa" w:w="2448"/>
            <w:shd w:val="clear" w:fill="F4F6F8"/>
          </w:tcPr>
          <w:p>
            <w:pPr>
              <w:spacing w:after="40" w:before="40"/>
            </w:pPr>
            <w:r/>
            <w:r>
              <w:rPr>
                <w:rFonts w:ascii="Calibri" w:hAnsi="Calibri"/>
                <w:b/>
                <w:sz w:val="19"/>
              </w:rPr>
              <w:t>Signal strength</w:t>
            </w:r>
          </w:p>
        </w:tc>
        <w:tc>
          <w:tcPr>
            <w:tcW w:type="dxa" w:w="7488"/>
          </w:tcPr>
          <w:p>
            <w:pPr>
              <w:spacing w:after="40" w:before="40"/>
            </w:pPr>
            <w:r/>
            <w:r>
              <w:rPr>
                <w:rFonts w:ascii="Calibri" w:hAnsi="Calibri"/>
                <w:b w:val="0"/>
                <w:sz w:val="19"/>
              </w:rPr>
              <w:t>Is this entity's deviation stronger than its true peer group's? (Administrators are compared to administrators, analysts to analysts — not to the whole company.)</w:t>
            </w:r>
          </w:p>
        </w:tc>
      </w:tr>
      <w:tr>
        <w:tc>
          <w:tcPr>
            <w:tcW w:type="dxa" w:w="2448"/>
            <w:shd w:val="clear" w:fill="F4F6F8"/>
          </w:tcPr>
          <w:p>
            <w:pPr>
              <w:spacing w:after="40" w:before="40"/>
            </w:pPr>
            <w:r/>
            <w:r>
              <w:rPr>
                <w:rFonts w:ascii="Calibri" w:hAnsi="Calibri"/>
                <w:b/>
                <w:sz w:val="19"/>
              </w:rPr>
              <w:t>Breadth</w:t>
            </w:r>
          </w:p>
        </w:tc>
        <w:tc>
          <w:tcPr>
            <w:tcW w:type="dxa" w:w="7488"/>
          </w:tcPr>
          <w:p>
            <w:pPr>
              <w:spacing w:after="40" w:before="40"/>
            </w:pPr>
            <w:r/>
            <w:r>
              <w:rPr>
                <w:rFonts w:ascii="Calibri" w:hAnsi="Calibri"/>
                <w:b w:val="0"/>
                <w:sz w:val="19"/>
              </w:rPr>
              <w:t>How many aspects of behavior are elevated at once? One busy metric is noise; many together are a pattern.</w:t>
            </w:r>
          </w:p>
        </w:tc>
      </w:tr>
      <w:tr>
        <w:tc>
          <w:tcPr>
            <w:tcW w:type="dxa" w:w="2448"/>
            <w:shd w:val="clear" w:fill="F4F6F8"/>
          </w:tcPr>
          <w:p>
            <w:pPr>
              <w:spacing w:after="40" w:before="40"/>
            </w:pPr>
            <w:r/>
            <w:r>
              <w:rPr>
                <w:rFonts w:ascii="Calibri" w:hAnsi="Calibri"/>
                <w:b/>
                <w:sz w:val="19"/>
              </w:rPr>
              <w:t>Sustained</w:t>
            </w:r>
          </w:p>
        </w:tc>
        <w:tc>
          <w:tcPr>
            <w:tcW w:type="dxa" w:w="7488"/>
          </w:tcPr>
          <w:p>
            <w:pPr>
              <w:spacing w:after="40" w:before="40"/>
            </w:pPr>
            <w:r/>
            <w:r>
              <w:rPr>
                <w:rFonts w:ascii="Calibri" w:hAnsi="Calibri"/>
                <w:b w:val="0"/>
                <w:sz w:val="19"/>
              </w:rPr>
              <w:t>Does the deviation persist week after week, or was it one bad day?</w:t>
            </w:r>
          </w:p>
        </w:tc>
      </w:tr>
      <w:tr>
        <w:tc>
          <w:tcPr>
            <w:tcW w:type="dxa" w:w="2448"/>
            <w:shd w:val="clear" w:fill="F4F6F8"/>
          </w:tcPr>
          <w:p>
            <w:pPr>
              <w:spacing w:after="40" w:before="40"/>
            </w:pPr>
            <w:r/>
            <w:r>
              <w:rPr>
                <w:rFonts w:ascii="Calibri" w:hAnsi="Calibri"/>
                <w:b/>
                <w:sz w:val="19"/>
              </w:rPr>
              <w:t>Context divergence</w:t>
            </w:r>
          </w:p>
        </w:tc>
        <w:tc>
          <w:tcPr>
            <w:tcW w:type="dxa" w:w="7488"/>
          </w:tcPr>
          <w:p>
            <w:pPr>
              <w:spacing w:after="40" w:before="40"/>
            </w:pPr>
            <w:r/>
            <w:r>
              <w:rPr>
                <w:rFonts w:ascii="Calibri" w:hAnsi="Calibri"/>
                <w:b w:val="0"/>
                <w:sz w:val="19"/>
              </w:rPr>
              <w:t>Does the entity look anomalous from multiple investigative viewpoints (insider lens, APT-hunt lens, privilege-audit lens) at the same time?</w:t>
            </w:r>
          </w:p>
        </w:tc>
      </w:tr>
      <w:tr>
        <w:tc>
          <w:tcPr>
            <w:tcW w:type="dxa" w:w="2448"/>
            <w:shd w:val="clear" w:fill="F4F6F8"/>
          </w:tcPr>
          <w:p>
            <w:pPr>
              <w:spacing w:after="40" w:before="40"/>
            </w:pPr>
            <w:r/>
            <w:r>
              <w:rPr>
                <w:rFonts w:ascii="Calibri" w:hAnsi="Calibri"/>
                <w:b/>
                <w:sz w:val="19"/>
              </w:rPr>
              <w:t>Novelty persistence</w:t>
            </w:r>
          </w:p>
        </w:tc>
        <w:tc>
          <w:tcPr>
            <w:tcW w:type="dxa" w:w="7488"/>
          </w:tcPr>
          <w:p>
            <w:pPr>
              <w:spacing w:after="40" w:before="40"/>
            </w:pPr>
            <w:r/>
            <w:r>
              <w:rPr>
                <w:rFonts w:ascii="Calibri" w:hAnsi="Calibri"/>
                <w:b w:val="0"/>
                <w:sz w:val="19"/>
              </w:rPr>
              <w:t>Is the entity in recurring contact with infrastructure it has never touched before? (The slow-APT tell: tiny volumes, but the same never-before-seen destinations week after week.)</w:t>
            </w:r>
          </w:p>
        </w:tc>
      </w:tr>
    </w:tbl>
    <w:p>
      <w:pPr>
        <w:spacing w:after="40"/>
      </w:pPr>
    </w:p>
    <w:p>
      <w:pPr>
        <w:spacing w:after="120"/>
      </w:pPr>
      <w:r>
        <w:rPr>
          <w:b w:val="0"/>
          <w:i w:val="0"/>
          <w:sz w:val="21"/>
        </w:rPr>
        <w:t>A normal user may score high on one question by chance; an attacker scores high on several. Fusing the five into a single composite returns the entire population as one risk-ranked list — analysts work from the top down instead of triaging a flood of disconnected alerts. And every flagged entity carries its explanation: which zone changed, in which direction, aligned to which named threat concept and MITRE ATT&amp;CK techniques — an auditable record of why it was flagged.</w:t>
      </w:r>
    </w:p>
    <w:p>
      <w:pPr>
        <w:spacing w:before="280" w:after="80"/>
      </w:pPr>
      <w:r>
        <w:rPr>
          <w:b/>
          <w:color w:val="0B1F3A"/>
          <w:sz w:val="30"/>
        </w:rPr>
        <w:t>6.  The Blind Test: Three Generations, One Dataset (Synthetic)</w:t>
      </w:r>
    </w:p>
    <w:p>
      <w:pPr>
        <w:spacing w:after="120"/>
      </w:pPr>
      <w:r>
        <w:rPr>
          <w:b w:val="0"/>
          <w:i w:val="0"/>
          <w:sz w:val="21"/>
        </w:rPr>
        <w:t>All three tiers ran on the same synthetic enterprise: 250 users, 485 days, roughly 145 million events across seven log sources, with the four campaigns of Section 2 embedded. Embeddings were real (OpenAI text-embedding-3-small), not simulated. The false-positive rate is reported honestly at a defined operating point: the score threshold that recalls all four campaigns — a threshold set with knowledge of the ground truth, used as a transparent reporting device rather than a deployable setting. At that threshold, 20 of the 246 normal users rank above the lowest-ranked campaign — an 8.1% false-positive rate.</w:t>
      </w:r>
    </w:p>
    <w:p>
      <w:pPr>
        <w:spacing w:before="120" w:after="0"/>
        <w:jc w:val="center"/>
      </w:pPr>
      <w:r>
        <w:drawing>
          <wp:inline xmlns:a="http://schemas.openxmlformats.org/drawingml/2006/main" xmlns:pic="http://schemas.openxmlformats.org/drawingml/2006/picture">
            <wp:extent cx="5852160" cy="2675273"/>
            <wp:docPr id="2" name="Picture 2"/>
            <wp:cNvGraphicFramePr>
              <a:graphicFrameLocks noChangeAspect="1"/>
            </wp:cNvGraphicFramePr>
            <a:graphic>
              <a:graphicData uri="http://schemas.openxmlformats.org/drawingml/2006/picture">
                <pic:pic>
                  <pic:nvPicPr>
                    <pic:cNvPr id="0" name="fig1_scoreboard.png"/>
                    <pic:cNvPicPr/>
                  </pic:nvPicPr>
                  <pic:blipFill>
                    <a:blip r:embed="rId10"/>
                    <a:stretch>
                      <a:fillRect/>
                    </a:stretch>
                  </pic:blipFill>
                  <pic:spPr>
                    <a:xfrm>
                      <a:off x="0" y="0"/>
                      <a:ext cx="5852160" cy="2675273"/>
                    </a:xfrm>
                    <a:prstGeom prst="rect"/>
                  </pic:spPr>
                </pic:pic>
              </a:graphicData>
            </a:graphic>
          </wp:inline>
        </w:drawing>
      </w:r>
    </w:p>
    <w:p>
      <w:pPr>
        <w:spacing w:after="160"/>
        <w:jc w:val="center"/>
      </w:pPr>
      <w:r>
        <w:rPr>
          <w:i/>
          <w:color w:val="555F6B"/>
          <w:sz w:val="17"/>
        </w:rPr>
        <w:t>Figure 2 — The scoreboard. Five traditional detectors against the four stealth campaigns: four catch none, Z-Score catches one (at a comparable 9.8% false-positive rate, and with no explanation). The V-Intelligence multi-phase composite ranks all four in the top tier at 8.1% false positives — with zone, direction, and MITRE ATT&amp;CK context attached to every alert. (Synthetic data.)</w:t>
      </w:r>
    </w:p>
    <w:p>
      <w:pPr>
        <w:spacing w:before="160" w:after="60"/>
      </w:pPr>
      <w:r>
        <w:rPr>
          <w:b/>
          <w:color w:val="C25A12"/>
          <w:sz w:val="24"/>
        </w:rPr>
        <w:t>6.1  Per-attacker results — each caught by a different tell</w:t>
      </w:r>
    </w:p>
    <w:p>
      <w:pPr>
        <w:spacing w:after="120"/>
      </w:pPr>
      <w:r>
        <w:rPr>
          <w:b w:val="0"/>
          <w:i w:val="0"/>
          <w:sz w:val="21"/>
        </w:rPr>
        <w:t>The four campaigns are not caught by one trick four times. Each one leans on a different mix of scoring phases — which is exactly why fusion, not any single detector, is the innovation: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296"/>
            <w:shd w:val="clear" w:fill="0B1F3A"/>
          </w:tcPr>
          <w:p>
            <w:pPr>
              <w:spacing w:after="40" w:before="40"/>
            </w:pPr>
            <w:r/>
            <w:r>
              <w:rPr>
                <w:rFonts w:ascii="Calibri" w:hAnsi="Calibri"/>
                <w:b/>
                <w:color w:val="FFFFFF"/>
                <w:sz w:val="19"/>
              </w:rPr>
              <w:t>Entity</w:t>
            </w:r>
          </w:p>
        </w:tc>
        <w:tc>
          <w:tcPr>
            <w:tcW w:type="dxa" w:w="3168"/>
            <w:shd w:val="clear" w:fill="0B1F3A"/>
          </w:tcPr>
          <w:p>
            <w:pPr>
              <w:spacing w:after="40" w:before="40"/>
            </w:pPr>
            <w:r/>
            <w:r>
              <w:rPr>
                <w:rFonts w:ascii="Calibri" w:hAnsi="Calibri"/>
                <w:b/>
                <w:color w:val="FFFFFF"/>
                <w:sz w:val="19"/>
              </w:rPr>
              <w:t>Campaign</w:t>
            </w:r>
          </w:p>
        </w:tc>
        <w:tc>
          <w:tcPr>
            <w:tcW w:type="dxa" w:w="1728"/>
            <w:shd w:val="clear" w:fill="0B1F3A"/>
          </w:tcPr>
          <w:p>
            <w:pPr>
              <w:spacing w:after="40" w:before="40"/>
            </w:pPr>
            <w:r/>
            <w:r>
              <w:rPr>
                <w:rFonts w:ascii="Calibri" w:hAnsi="Calibri"/>
                <w:b/>
                <w:color w:val="FFFFFF"/>
                <w:sz w:val="19"/>
              </w:rPr>
              <w:t>Rank / score</w:t>
            </w:r>
          </w:p>
        </w:tc>
        <w:tc>
          <w:tcPr>
            <w:tcW w:type="dxa" w:w="3744"/>
            <w:shd w:val="clear" w:fill="0B1F3A"/>
          </w:tcPr>
          <w:p>
            <w:pPr>
              <w:spacing w:after="40" w:before="40"/>
            </w:pPr>
            <w:r/>
            <w:r>
              <w:rPr>
                <w:rFonts w:ascii="Calibri" w:hAnsi="Calibri"/>
                <w:b/>
                <w:color w:val="FFFFFF"/>
                <w:sz w:val="19"/>
              </w:rPr>
              <w:t>How it was caught</w:t>
            </w:r>
          </w:p>
        </w:tc>
      </w:tr>
      <w:tr>
        <w:tc>
          <w:tcPr>
            <w:tcW w:type="dxa" w:w="1296"/>
            <w:shd w:val="clear" w:fill="F4F6F8"/>
          </w:tcPr>
          <w:p>
            <w:pPr>
              <w:spacing w:after="40" w:before="40"/>
            </w:pPr>
            <w:r/>
            <w:r>
              <w:rPr>
                <w:rFonts w:ascii="Calibri" w:hAnsi="Calibri"/>
                <w:b/>
                <w:sz w:val="19"/>
              </w:rPr>
              <w:t>USR-118</w:t>
            </w:r>
          </w:p>
        </w:tc>
        <w:tc>
          <w:tcPr>
            <w:tcW w:type="dxa" w:w="3168"/>
          </w:tcPr>
          <w:p>
            <w:pPr>
              <w:spacing w:after="40" w:before="40"/>
            </w:pPr>
            <w:r/>
            <w:r>
              <w:rPr>
                <w:rFonts w:ascii="Calibri" w:hAnsi="Calibri"/>
                <w:b w:val="0"/>
                <w:sz w:val="19"/>
              </w:rPr>
              <w:t>Salt Typhoon — telecom infrastructure pivot (412 days)</w:t>
            </w:r>
          </w:p>
        </w:tc>
        <w:tc>
          <w:tcPr>
            <w:tcW w:type="dxa" w:w="1728"/>
          </w:tcPr>
          <w:p>
            <w:pPr>
              <w:spacing w:after="40" w:before="40"/>
            </w:pPr>
            <w:r/>
            <w:r>
              <w:rPr>
                <w:rFonts w:ascii="Calibri" w:hAnsi="Calibri"/>
                <w:b w:val="0"/>
                <w:sz w:val="19"/>
              </w:rPr>
              <w:t>#1 of 250</w:t>
              <w:br/>
              <w:t>score 51.3</w:t>
            </w:r>
          </w:p>
        </w:tc>
        <w:tc>
          <w:tcPr>
            <w:tcW w:type="dxa" w:w="3744"/>
          </w:tcPr>
          <w:p>
            <w:pPr>
              <w:spacing w:after="40" w:before="40"/>
            </w:pPr>
            <w:r/>
            <w:r>
              <w:rPr>
                <w:rFonts w:ascii="Calibri" w:hAnsi="Calibri"/>
                <w:b w:val="0"/>
                <w:sz w:val="19"/>
              </w:rPr>
              <w:t>Composite drift + breadth: quiet movement across segments lights up several zones at once. Its largest measured z-score on any traditional feature was 1.71 — deep inside the normal band — yet it ranked #1.</w:t>
            </w:r>
          </w:p>
        </w:tc>
      </w:tr>
      <w:tr>
        <w:tc>
          <w:tcPr>
            <w:tcW w:type="dxa" w:w="1296"/>
            <w:shd w:val="clear" w:fill="F4F6F8"/>
          </w:tcPr>
          <w:p>
            <w:pPr>
              <w:spacing w:after="40" w:before="40"/>
            </w:pPr>
            <w:r/>
            <w:r>
              <w:rPr>
                <w:rFonts w:ascii="Calibri" w:hAnsi="Calibri"/>
                <w:b/>
                <w:sz w:val="19"/>
              </w:rPr>
              <w:t>USR-156</w:t>
            </w:r>
          </w:p>
        </w:tc>
        <w:tc>
          <w:tcPr>
            <w:tcW w:type="dxa" w:w="3168"/>
          </w:tcPr>
          <w:p>
            <w:pPr>
              <w:spacing w:after="40" w:before="40"/>
            </w:pPr>
            <w:r/>
            <w:r>
              <w:rPr>
                <w:rFonts w:ascii="Calibri" w:hAnsi="Calibri"/>
                <w:b w:val="0"/>
                <w:sz w:val="19"/>
              </w:rPr>
              <w:t>Insider threat — 14-month escalation</w:t>
            </w:r>
          </w:p>
        </w:tc>
        <w:tc>
          <w:tcPr>
            <w:tcW w:type="dxa" w:w="1728"/>
          </w:tcPr>
          <w:p>
            <w:pPr>
              <w:spacing w:after="40" w:before="40"/>
            </w:pPr>
            <w:r/>
            <w:r>
              <w:rPr>
                <w:rFonts w:ascii="Calibri" w:hAnsi="Calibri"/>
                <w:b w:val="0"/>
                <w:sz w:val="19"/>
              </w:rPr>
              <w:t>#2 of 250</w:t>
              <w:br/>
              <w:t>score 46.2</w:t>
            </w:r>
          </w:p>
        </w:tc>
        <w:tc>
          <w:tcPr>
            <w:tcW w:type="dxa" w:w="3744"/>
          </w:tcPr>
          <w:p>
            <w:pPr>
              <w:spacing w:after="40" w:before="40"/>
            </w:pPr>
            <w:r/>
            <w:r>
              <w:rPr>
                <w:rFonts w:ascii="Calibri" w:hAnsi="Calibri"/>
                <w:b w:val="0"/>
                <w:sz w:val="19"/>
              </w:rPr>
              <w:t>Signal strength, breadth, and sustained deviation concentrated in the data-behavior zone while identity stayed flat.</w:t>
            </w:r>
          </w:p>
        </w:tc>
      </w:tr>
      <w:tr>
        <w:tc>
          <w:tcPr>
            <w:tcW w:type="dxa" w:w="1296"/>
            <w:shd w:val="clear" w:fill="F4F6F8"/>
          </w:tcPr>
          <w:p>
            <w:pPr>
              <w:spacing w:after="40" w:before="40"/>
            </w:pPr>
            <w:r/>
            <w:r>
              <w:rPr>
                <w:rFonts w:ascii="Calibri" w:hAnsi="Calibri"/>
                <w:b/>
                <w:sz w:val="19"/>
              </w:rPr>
              <w:t>USR-234</w:t>
            </w:r>
          </w:p>
        </w:tc>
        <w:tc>
          <w:tcPr>
            <w:tcW w:type="dxa" w:w="3168"/>
          </w:tcPr>
          <w:p>
            <w:pPr>
              <w:spacing w:after="40" w:before="40"/>
            </w:pPr>
            <w:r/>
            <w:r>
              <w:rPr>
                <w:rFonts w:ascii="Calibri" w:hAnsi="Calibri"/>
                <w:b w:val="0"/>
                <w:sz w:val="19"/>
              </w:rPr>
              <w:t>Slow APT — 417-day C2 beaconing</w:t>
            </w:r>
          </w:p>
        </w:tc>
        <w:tc>
          <w:tcPr>
            <w:tcW w:type="dxa" w:w="1728"/>
          </w:tcPr>
          <w:p>
            <w:pPr>
              <w:spacing w:after="40" w:before="40"/>
            </w:pPr>
            <w:r/>
            <w:r>
              <w:rPr>
                <w:rFonts w:ascii="Calibri" w:hAnsi="Calibri"/>
                <w:b w:val="0"/>
                <w:sz w:val="19"/>
              </w:rPr>
              <w:t>#7 of 250</w:t>
              <w:br/>
              <w:t>score 19.4</w:t>
            </w:r>
          </w:p>
        </w:tc>
        <w:tc>
          <w:tcPr>
            <w:tcW w:type="dxa" w:w="3744"/>
          </w:tcPr>
          <w:p>
            <w:pPr>
              <w:spacing w:after="40" w:before="40"/>
            </w:pPr>
            <w:r/>
            <w:r>
              <w:rPr>
                <w:rFonts w:ascii="Calibri" w:hAnsi="Calibri"/>
                <w:b w:val="0"/>
                <w:sz w:val="19"/>
              </w:rPr>
              <w:t>Novelty persistence: among the lowest raw signal of any entity (2–3 beacons/day), but the same never-before-seen infrastructure recurring week after week — the axis no threshold measures.</w:t>
            </w:r>
          </w:p>
        </w:tc>
      </w:tr>
      <w:tr>
        <w:tc>
          <w:tcPr>
            <w:tcW w:type="dxa" w:w="1296"/>
            <w:shd w:val="clear" w:fill="F4F6F8"/>
          </w:tcPr>
          <w:p>
            <w:pPr>
              <w:spacing w:after="40" w:before="40"/>
            </w:pPr>
            <w:r/>
            <w:r>
              <w:rPr>
                <w:rFonts w:ascii="Calibri" w:hAnsi="Calibri"/>
                <w:b/>
                <w:sz w:val="19"/>
              </w:rPr>
              <w:t>USR-042</w:t>
            </w:r>
          </w:p>
        </w:tc>
        <w:tc>
          <w:tcPr>
            <w:tcW w:type="dxa" w:w="3168"/>
          </w:tcPr>
          <w:p>
            <w:pPr>
              <w:spacing w:after="40" w:before="40"/>
            </w:pPr>
            <w:r/>
            <w:r>
              <w:rPr>
                <w:rFonts w:ascii="Calibri" w:hAnsi="Calibri"/>
                <w:b w:val="0"/>
                <w:sz w:val="19"/>
              </w:rPr>
              <w:t>Volt Typhoon — living off the land (412 days)</w:t>
            </w:r>
          </w:p>
        </w:tc>
        <w:tc>
          <w:tcPr>
            <w:tcW w:type="dxa" w:w="1728"/>
          </w:tcPr>
          <w:p>
            <w:pPr>
              <w:spacing w:after="40" w:before="40"/>
            </w:pPr>
            <w:r/>
            <w:r>
              <w:rPr>
                <w:rFonts w:ascii="Calibri" w:hAnsi="Calibri"/>
                <w:b w:val="0"/>
                <w:sz w:val="19"/>
              </w:rPr>
              <w:t>#24 of 250</w:t>
              <w:br/>
              <w:t>score 13.7</w:t>
            </w:r>
          </w:p>
        </w:tc>
        <w:tc>
          <w:tcPr>
            <w:tcW w:type="dxa" w:w="3744"/>
          </w:tcPr>
          <w:p>
            <w:pPr>
              <w:spacing w:after="40" w:before="40"/>
            </w:pPr>
            <w:r/>
            <w:r>
              <w:rPr>
                <w:rFonts w:ascii="Calibri" w:hAnsi="Calibri"/>
                <w:b w:val="0"/>
                <w:sz w:val="19"/>
              </w:rPr>
              <w:t>Composite drift + breadth: the hardest case, sitting in the upper normal tail — surfaced in the top ~10%. The one traditional catch on the benchmark was Z-Score's flag on this entity (measured z = 3.04, barely over the common z = 3 alarm line) — a bare "anomalous" with no indication of why.</w:t>
            </w:r>
          </w:p>
        </w:tc>
      </w:tr>
    </w:tbl>
    <w:p>
      <w:pPr>
        <w:spacing w:after="40"/>
      </w:pPr>
    </w:p>
    <w:p>
      <w:pPr>
        <w:spacing w:before="120" w:after="0"/>
        <w:jc w:val="center"/>
      </w:pPr>
      <w:r>
        <w:drawing>
          <wp:inline xmlns:a="http://schemas.openxmlformats.org/drawingml/2006/main" xmlns:pic="http://schemas.openxmlformats.org/drawingml/2006/picture">
            <wp:extent cx="5852160" cy="2508069"/>
            <wp:docPr id="3" name="Picture 3"/>
            <wp:cNvGraphicFramePr>
              <a:graphicFrameLocks noChangeAspect="1"/>
            </wp:cNvGraphicFramePr>
            <a:graphic>
              <a:graphicData uri="http://schemas.openxmlformats.org/drawingml/2006/picture">
                <pic:pic>
                  <pic:nvPicPr>
                    <pic:cNvPr id="0" name="fig3_ranks.png"/>
                    <pic:cNvPicPr/>
                  </pic:nvPicPr>
                  <pic:blipFill>
                    <a:blip r:embed="rId11"/>
                    <a:stretch>
                      <a:fillRect/>
                    </a:stretch>
                  </pic:blipFill>
                  <pic:spPr>
                    <a:xfrm>
                      <a:off x="0" y="0"/>
                      <a:ext cx="5852160" cy="2508069"/>
                    </a:xfrm>
                    <a:prstGeom prst="rect"/>
                  </pic:spPr>
                </pic:pic>
              </a:graphicData>
            </a:graphic>
          </wp:inline>
        </w:drawing>
      </w:r>
    </w:p>
    <w:p>
      <w:pPr>
        <w:spacing w:after="160"/>
        <w:jc w:val="center"/>
      </w:pPr>
      <w:r>
        <w:rPr>
          <w:i/>
          <w:color w:val="555F6B"/>
          <w:sz w:val="17"/>
        </w:rPr>
        <w:t>Figure 3 — Where the four campaigns land on the composite ranking (real run output; normal-user backdrop illustrative). Salt Typhoon and the insider stand far clear of the population; the slow APT and the Volt Typhoon LoTL campaign sit above the bulk but nearer the tail — recalling all four admits 20 normal users, the honest 8.1% operating point.</w:t>
      </w:r>
    </w:p>
    <w:p>
      <w:pPr>
        <w:spacing w:before="160" w:after="60"/>
      </w:pPr>
      <w:r>
        <w:rPr>
          <w:b/>
          <w:color w:val="C25A12"/>
          <w:sz w:val="24"/>
        </w:rPr>
        <w:t>6.2  Why fusion is the point</w:t>
      </w:r>
    </w:p>
    <w:p>
      <w:pPr>
        <w:spacing w:after="120"/>
      </w:pPr>
      <w:r>
        <w:rPr>
          <w:b w:val="0"/>
          <w:i w:val="0"/>
          <w:sz w:val="21"/>
        </w:rPr>
        <w:t>Taken individually, the system's underlying detectors are each noisy — a naive union of their individual alarms would flag roughly 19% of normal users. Used as a ranking problem, each scoring phase is only a partial discriminator: ranking quality (ROC AUC, the probability a random campaign outranks a random normal user; 0.5 is a coin flip, 1.0 is perfect) runs from 0.73 for novelty alone to 0.94 for context alone. The fused composite reaches 0.976. Many weak, independent signals become one precise verdict — and an attacker cannot escape by defeating any one phase: staying hidden requires evading all five simultaneously, which is what makes the design evasion-resistant.</w:t>
      </w:r>
    </w:p>
    <w:p>
      <w:pPr>
        <w:spacing w:before="120" w:after="0"/>
        <w:jc w:val="center"/>
      </w:pPr>
      <w:r>
        <w:drawing>
          <wp:inline xmlns:a="http://schemas.openxmlformats.org/drawingml/2006/main" xmlns:pic="http://schemas.openxmlformats.org/drawingml/2006/picture">
            <wp:extent cx="5852160" cy="2495774"/>
            <wp:docPr id="4" name="Picture 4"/>
            <wp:cNvGraphicFramePr>
              <a:graphicFrameLocks noChangeAspect="1"/>
            </wp:cNvGraphicFramePr>
            <a:graphic>
              <a:graphicData uri="http://schemas.openxmlformats.org/drawingml/2006/picture">
                <pic:pic>
                  <pic:nvPicPr>
                    <pic:cNvPr id="0" name="fig4_fusion.png"/>
                    <pic:cNvPicPr/>
                  </pic:nvPicPr>
                  <pic:blipFill>
                    <a:blip r:embed="rId12"/>
                    <a:stretch>
                      <a:fillRect/>
                    </a:stretch>
                  </pic:blipFill>
                  <pic:spPr>
                    <a:xfrm>
                      <a:off x="0" y="0"/>
                      <a:ext cx="5852160" cy="2495774"/>
                    </a:xfrm>
                    <a:prstGeom prst="rect"/>
                  </pic:spPr>
                </pic:pic>
              </a:graphicData>
            </a:graphic>
          </wp:inline>
        </w:drawing>
      </w:r>
    </w:p>
    <w:p>
      <w:pPr>
        <w:spacing w:after="160"/>
        <w:jc w:val="center"/>
      </w:pPr>
      <w:r>
        <w:rPr>
          <w:i/>
          <w:color w:val="555F6B"/>
          <w:sz w:val="17"/>
        </w:rPr>
        <w:t>Figure 4 — Ranking quality by scoring phase versus the fused composite (250 users, real embeddings). Every individual phase is only a partial discriminator; fusion lifts ranking quality to 0.98. For context, the best traditional discriminator on a separate 50-user run reached about 0.81.</w:t>
      </w:r>
    </w:p>
    <w:p>
      <w:pPr>
        <w:spacing w:before="160" w:after="60"/>
      </w:pPr>
      <w:r>
        <w:rPr>
          <w:b/>
          <w:color w:val="C25A12"/>
          <w:sz w:val="24"/>
        </w:rPr>
        <w:t>6.3  What 8.1% false positives actually means</w:t>
      </w:r>
    </w:p>
    <w:p>
      <w:pPr>
        <w:spacing w:after="120"/>
      </w:pPr>
      <w:r>
        <w:rPr>
          <w:b w:val="0"/>
          <w:i w:val="0"/>
          <w:sz w:val="21"/>
        </w:rPr>
        <w:t>It does not mean the system blocks 8.1% of employees. The composite is a ranked triage list: at the threshold that catches all four campaigns, an analyst reviewing the list top-down would work through about 24 entities (4 real campaigns plus 20 normal users) out of 250 — each with its zone, direction, and threat-concept explanation attached, instead of a bare "anomalous" flag. A stricter threshold trades the hardest case (the Volt Typhoon entity, closest to the boundary) for fewer reviews; that detection-versus-false-alarm curve will be published on larger data.</w:t>
      </w:r>
    </w:p>
    <w:p>
      <w:pPr>
        <w:spacing w:before="280" w:after="80"/>
      </w:pPr>
      <w:r>
        <w:rPr>
          <w:b/>
          <w:color w:val="0B1F3A"/>
          <w:sz w:val="30"/>
        </w:rPr>
        <w:t>7.  Scale, Deployment, and Other Uses</w:t>
      </w:r>
    </w:p>
    <w:p>
      <w:pPr>
        <w:pStyle w:val="ListBullet"/>
        <w:spacing w:after="60"/>
      </w:pPr>
      <w:r>
        <w:rPr>
          <w:b/>
          <w:sz w:val="21"/>
        </w:rPr>
        <w:t xml:space="preserve">Economics. </w:t>
      </w:r>
      <w:r>
        <w:rPr>
          <w:sz w:val="21"/>
        </w:rPr>
        <w:t xml:space="preserve"> cost scales with entities and weeks, not raw event volume — 145 million events reduce to weekly behavioral profiles before embedding, and embeddings are cached so repeated behavior costs nothing new.</w:t>
      </w:r>
    </w:p>
    <w:p>
      <w:pPr>
        <w:pStyle w:val="ListBullet"/>
        <w:spacing w:after="60"/>
      </w:pPr>
      <w:r>
        <w:rPr>
          <w:b/>
          <w:sz w:val="21"/>
        </w:rPr>
        <w:t xml:space="preserve">Footprint. </w:t>
      </w:r>
      <w:r>
        <w:rPr>
          <w:sz w:val="21"/>
        </w:rPr>
        <w:t xml:space="preserve"> containerized (Docker) over PostgreSQL with a vector store and full bi-temporal history; deployable in an enterprise data center, at a tactical edge, or in an air-gapped enclave (the external embedding model swaps for a locally hosted one).</w:t>
      </w:r>
    </w:p>
    <w:p>
      <w:pPr>
        <w:pStyle w:val="ListBullet"/>
        <w:spacing w:after="60"/>
      </w:pPr>
      <w:r>
        <w:rPr>
          <w:b/>
          <w:sz w:val="21"/>
        </w:rPr>
        <w:t xml:space="preserve">Integration. </w:t>
      </w:r>
      <w:r>
        <w:rPr>
          <w:sz w:val="21"/>
        </w:rPr>
        <w:t xml:space="preserve"> ingests from existing SIEM (Security Information and Event Management) and log sources — no new instrumentation. Rollout runs shadow-mode alongside the existing SIEM before operation.</w:t>
      </w:r>
    </w:p>
    <w:p>
      <w:pPr>
        <w:pStyle w:val="ListBullet"/>
        <w:spacing w:after="60"/>
      </w:pPr>
      <w:r>
        <w:rPr>
          <w:b/>
          <w:sz w:val="21"/>
        </w:rPr>
        <w:t xml:space="preserve">Beyond cyber. </w:t>
      </w:r>
      <w:r>
        <w:rPr>
          <w:sz w:val="21"/>
        </w:rPr>
        <w:t xml:space="preserve"> the method is domain-agnostic: the same machinery has been instantiated for defense supply-chain supplier risk, and applies naturally to healthcare fraud, financial crime, equipment-degradation monitoring, and counter-intelligence — anywhere an entity's behavior can be observed over time.</w:t>
      </w:r>
    </w:p>
    <w:p>
      <w:pPr>
        <w:spacing w:before="280" w:after="80"/>
      </w:pPr>
      <w:r>
        <w:rPr>
          <w:b/>
          <w:color w:val="0B1F3A"/>
          <w:sz w:val="30"/>
        </w:rPr>
        <w:t>8.  Why This Is New</w:t>
      </w:r>
    </w:p>
    <w:p>
      <w:pPr>
        <w:spacing w:after="120"/>
      </w:pPr>
      <w:r>
        <w:rPr>
          <w:b w:val="0"/>
          <w:i w:val="0"/>
          <w:sz w:val="21"/>
        </w:rPr>
        <w:t>Behavioral analytics is a mature field, and we are precise about what is and is not new. Commercial UEBA platforms (per their publicly described methodology) baseline entities statistically and score deviations on numeric features and peer groups — strong on volume anomalies, blind to a constant-volume change of kind. Their recent generative-AI features are conversational copilots layered on top, not the detection mechanism. Academic work has separately established each ingredient used here: embedding serialized behavior, detecting anomalies in embedding space, and measuring embedding drift. Every published system we found, however, still detects by magnitude — how unusual, how far, how rare.</w:t>
      </w:r>
    </w:p>
    <w:p>
      <w:pPr>
        <w:spacing w:after="120"/>
      </w:pPr>
      <w:r>
        <w:rPr>
          <w:b/>
          <w:i w:val="0"/>
          <w:sz w:val="21"/>
        </w:rPr>
        <w:t>What no commercial platform and no single published system does, to the best of our knowledge, is detect by the direction of behavioral drift in a unified semantic space — naming what the entity is becoming against pre-positioned threat concepts mapped to MITRE ATT&amp;CK, localized to a behavioral zone, scored against true peers, and fused across independent phases into one explainable ranked verdict. The innovation is the integrated architecture and the direction-not-magnitude paradigm, not any single technique.</w:t>
      </w:r>
    </w:p>
    <w:p>
      <w:pPr>
        <w:spacing w:after="120"/>
      </w:pPr>
      <w:r>
        <w:rPr>
          <w:b w:val="0"/>
          <w:i/>
          <w:color w:val="555F6B"/>
          <w:sz w:val="19"/>
        </w:rPr>
        <w:t>Scoping notes: vendor internals are not fully public (the comparison is against marketed methodology), and a formal freedom-to-operate review is recommended before any contractual assertion of uniqueness.</w:t>
      </w:r>
    </w:p>
    <w:p>
      <w:pPr>
        <w:spacing w:before="280" w:after="80"/>
      </w:pPr>
      <w:r>
        <w:rPr>
          <w:b/>
          <w:color w:val="0B1F3A"/>
          <w:sz w:val="30"/>
        </w:rPr>
        <w:t>9.  Limitations — Stated Plainly</w:t>
      </w:r>
    </w:p>
    <w:p>
      <w:pPr>
        <w:pStyle w:val="ListBullet"/>
        <w:spacing w:after="60"/>
      </w:pPr>
      <w:r>
        <w:rPr>
          <w:sz w:val="21"/>
        </w:rPr>
        <w:t>All results are from synthetic telemetry; real-data validation with recalibrated thresholds is the planned next step.</w:t>
      </w:r>
    </w:p>
    <w:p>
      <w:pPr>
        <w:pStyle w:val="ListBullet"/>
        <w:spacing w:after="60"/>
      </w:pPr>
      <w:r>
        <w:rPr>
          <w:sz w:val="21"/>
        </w:rPr>
        <w:t>Four embedded campaigns demonstrate the concept end to end but are not a statistically powered evaluation; a larger, more varied campaign set is next.</w:t>
      </w:r>
    </w:p>
    <w:p>
      <w:pPr>
        <w:pStyle w:val="ListBullet"/>
        <w:spacing w:after="60"/>
      </w:pPr>
      <w:r>
        <w:rPr>
          <w:sz w:val="21"/>
        </w:rPr>
        <w:t>The 8.1% figure is measured at the threshold that catches all four campaigns; the full detection-versus-false-alarm curve on larger data will let each operator set their own alert budget.</w:t>
      </w:r>
    </w:p>
    <w:p>
      <w:pPr>
        <w:pStyle w:val="ListBullet"/>
        <w:spacing w:after="60"/>
      </w:pPr>
      <w:r>
        <w:rPr>
          <w:sz w:val="21"/>
        </w:rPr>
        <w:t>The behavioral narratives include interpretive wording ("restricted," "rising") that helps the model but may also prime it; a plain-numbers control run is planned to confirm the signal holds without it.</w:t>
      </w:r>
    </w:p>
    <w:p>
      <w:pPr>
        <w:pStyle w:val="ListBullet"/>
        <w:spacing w:after="60"/>
      </w:pPr>
      <w:r>
        <w:rPr>
          <w:sz w:val="21"/>
        </w:rPr>
        <w:t>A model-aware adversary will adapt — detection is an ongoing contest. Multi-phase fusion, novelty persistence, and relationship signals raise the bar today and are designed to evolve.</w:t>
      </w:r>
    </w:p>
    <w:p>
      <w:pPr>
        <w:pStyle w:val="ListBullet"/>
        <w:spacing w:after="60"/>
      </w:pPr>
      <w:r>
        <w:rPr>
          <w:sz w:val="21"/>
        </w:rPr>
        <w:t>Air-gapped and classified environments are supported via a self-hosted embedding model; that local model should be re-characterized before relying on these exact numbers.</w:t>
      </w:r>
    </w:p>
    <w:p>
      <w:pPr>
        <w:spacing w:before="280" w:after="80"/>
      </w:pPr>
      <w:r>
        <w:rPr>
          <w:b/>
          <w:color w:val="0B1F3A"/>
          <w:sz w:val="30"/>
        </w:rPr>
        <w:t>10.  Conclusion</w:t>
      </w:r>
    </w:p>
    <w:p>
      <w:pPr>
        <w:spacing w:after="120"/>
      </w:pPr>
      <w:r>
        <w:rPr>
          <w:b w:val="0"/>
          <w:i w:val="0"/>
          <w:sz w:val="21"/>
        </w:rPr>
        <w:t>Three generations on one dataset make the case plainly. Traditional detection largely misses the stealthy campaigns — 0 of 4 for most methods, 1 of 4 for the best — and even when it fires, the alert says only "anomalous," leaving the analyst the same manual triage. An intermediate drift approach begins to recover direction. The V-Intelligence digital twin — zones, trajectories, peer cohorts, relationships, and multi-phase fusion — finds all four campaigns at an 8.1% false-positive rate, including a Salt Typhoon-class intrusion ranked #1 of 250 and a Volt Typhoon-class campaign of the kind that stayed invisible in U.S. critical infrastructure for five years.</w:t>
      </w:r>
    </w:p>
    <w:p>
      <w:pPr>
        <w:spacing w:after="120"/>
      </w:pPr>
      <w:r>
        <w:rPr>
          <w:b/>
          <w:i w:val="0"/>
          <w:sz w:val="21"/>
        </w:rPr>
        <w:t>Traditional analytics can detect anomalous users. But detection without direction is triage without intelligence. V-Intelligence tells the analyst which behavioral zone changed, toward what threat pattern, mapped to MITRE ATT&amp;CK — the difference between an alert and an actionable investigation.</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UEBA</w:t>
            </w:r>
          </w:p>
        </w:tc>
        <w:tc>
          <w:tcPr>
            <w:tcW w:type="dxa" w:w="7200"/>
          </w:tcPr>
          <w:p>
            <w:pPr>
              <w:spacing w:after="40" w:before="40"/>
            </w:pPr>
            <w:r/>
            <w:r>
              <w:rPr>
                <w:rFonts w:ascii="Calibri" w:hAnsi="Calibri"/>
                <w:b w:val="0"/>
                <w:sz w:val="18"/>
              </w:rPr>
              <w:t>User and Entity Behavior Analytics — finding threats by modeling how each user and system normally behaves, rather than matching known attack signatures.</w:t>
            </w:r>
          </w:p>
        </w:tc>
      </w:tr>
      <w:tr>
        <w:tc>
          <w:tcPr>
            <w:tcW w:type="dxa" w:w="2736"/>
            <w:shd w:val="clear" w:fill="F4F6F8"/>
          </w:tcPr>
          <w:p>
            <w:pPr>
              <w:spacing w:after="40" w:before="40"/>
            </w:pPr>
            <w:r/>
            <w:r>
              <w:rPr>
                <w:rFonts w:ascii="Calibri" w:hAnsi="Calibri"/>
                <w:b/>
                <w:color w:val="0B1F3A"/>
                <w:sz w:val="18"/>
              </w:rPr>
              <w:t>Digital twin</w:t>
            </w:r>
          </w:p>
        </w:tc>
        <w:tc>
          <w:tcPr>
            <w:tcW w:type="dxa" w:w="7200"/>
          </w:tcPr>
          <w:p>
            <w:pPr>
              <w:spacing w:after="40" w:before="40"/>
            </w:pPr>
            <w:r/>
            <w:r>
              <w:rPr>
                <w:rFonts w:ascii="Calibri" w:hAnsi="Calibri"/>
                <w:b w:val="0"/>
                <w:sz w:val="18"/>
              </w:rPr>
              <w:t>A living software profile of a real-world entity — like a patient's medical chart: history, vitals, context, and trend, updated weekly.</w:t>
            </w:r>
          </w:p>
        </w:tc>
      </w:tr>
      <w:tr>
        <w:tc>
          <w:tcPr>
            <w:tcW w:type="dxa" w:w="2736"/>
            <w:shd w:val="clear" w:fill="F4F6F8"/>
          </w:tcPr>
          <w:p>
            <w:pPr>
              <w:spacing w:after="40" w:before="40"/>
            </w:pPr>
            <w:r/>
            <w:r>
              <w:rPr>
                <w:rFonts w:ascii="Calibri" w:hAnsi="Calibri"/>
                <w:b/>
                <w:color w:val="0B1F3A"/>
                <w:sz w:val="18"/>
              </w:rPr>
              <w:t>Embedding / semantic space</w:t>
            </w:r>
          </w:p>
        </w:tc>
        <w:tc>
          <w:tcPr>
            <w:tcW w:type="dxa" w:w="7200"/>
          </w:tcPr>
          <w:p>
            <w:pPr>
              <w:spacing w:after="40" w:before="40"/>
            </w:pPr>
            <w:r/>
            <w:r>
              <w:rPr>
                <w:rFonts w:ascii="Calibri" w:hAnsi="Calibri"/>
                <w:b w:val="0"/>
                <w:sz w:val="18"/>
              </w:rPr>
              <w:t>A numerical vector capturing the meaning of a description; the resulting "map of meaning" places similar behaviors near each other even when raw numbers differ. The core representation inside large language models.</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How an entity's behavioral profile moves through the semantic space over time — how far, how fast, and in which direction.</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independently profiled aspects of an entity: identity, access pattern, data behavior, network footprint, risk posture.</w:t>
            </w:r>
          </w:p>
        </w:tc>
      </w:tr>
      <w:tr>
        <w:tc>
          <w:tcPr>
            <w:tcW w:type="dxa" w:w="2736"/>
            <w:shd w:val="clear" w:fill="F4F6F8"/>
          </w:tcPr>
          <w:p>
            <w:pPr>
              <w:spacing w:after="40" w:before="40"/>
            </w:pPr>
            <w:r/>
            <w:r>
              <w:rPr>
                <w:rFonts w:ascii="Calibri" w:hAnsi="Calibri"/>
                <w:b/>
                <w:color w:val="0B1F3A"/>
                <w:sz w:val="18"/>
              </w:rPr>
              <w:t>MITRE ATT&amp;CK</w:t>
            </w:r>
          </w:p>
        </w:tc>
        <w:tc>
          <w:tcPr>
            <w:tcW w:type="dxa" w:w="7200"/>
          </w:tcPr>
          <w:p>
            <w:pPr>
              <w:spacing w:after="40" w:before="40"/>
            </w:pPr>
            <w:r/>
            <w:r>
              <w:rPr>
                <w:rFonts w:ascii="Calibri" w:hAnsi="Calibri"/>
                <w:b w:val="0"/>
                <w:sz w:val="18"/>
              </w:rPr>
              <w:t>The industry-standard public catalog of adversary tactics and techniques; alerts here are named in its vocabulary.</w:t>
            </w:r>
          </w:p>
        </w:tc>
      </w:tr>
      <w:tr>
        <w:tc>
          <w:tcPr>
            <w:tcW w:type="dxa" w:w="2736"/>
            <w:shd w:val="clear" w:fill="F4F6F8"/>
          </w:tcPr>
          <w:p>
            <w:pPr>
              <w:spacing w:after="40" w:before="40"/>
            </w:pPr>
            <w:r/>
            <w:r>
              <w:rPr>
                <w:rFonts w:ascii="Calibri" w:hAnsi="Calibri"/>
                <w:b/>
                <w:color w:val="0B1F3A"/>
                <w:sz w:val="18"/>
              </w:rPr>
              <w:t>APT</w:t>
            </w:r>
          </w:p>
        </w:tc>
        <w:tc>
          <w:tcPr>
            <w:tcW w:type="dxa" w:w="7200"/>
          </w:tcPr>
          <w:p>
            <w:pPr>
              <w:spacing w:after="40" w:before="40"/>
            </w:pPr>
            <w:r/>
            <w:r>
              <w:rPr>
                <w:rFonts w:ascii="Calibri" w:hAnsi="Calibri"/>
                <w:b w:val="0"/>
                <w:sz w:val="18"/>
              </w:rPr>
              <w:t>Advanced Persistent Threat — a patient, well-resourced (typically nation-state) intruder operating quietly over months or years.</w:t>
            </w:r>
          </w:p>
        </w:tc>
      </w:tr>
      <w:tr>
        <w:tc>
          <w:tcPr>
            <w:tcW w:type="dxa" w:w="2736"/>
            <w:shd w:val="clear" w:fill="F4F6F8"/>
          </w:tcPr>
          <w:p>
            <w:pPr>
              <w:spacing w:after="40" w:before="40"/>
            </w:pPr>
            <w:r/>
            <w:r>
              <w:rPr>
                <w:rFonts w:ascii="Calibri" w:hAnsi="Calibri"/>
                <w:b/>
                <w:color w:val="0B1F3A"/>
                <w:sz w:val="18"/>
              </w:rPr>
              <w:t>LoTL</w:t>
            </w:r>
          </w:p>
        </w:tc>
        <w:tc>
          <w:tcPr>
            <w:tcW w:type="dxa" w:w="7200"/>
          </w:tcPr>
          <w:p>
            <w:pPr>
              <w:spacing w:after="40" w:before="40"/>
            </w:pPr>
            <w:r/>
            <w:r>
              <w:rPr>
                <w:rFonts w:ascii="Calibri" w:hAnsi="Calibri"/>
                <w:b w:val="0"/>
                <w:sz w:val="18"/>
              </w:rPr>
              <w:t>Living off the Land — attacking with only the system's own legitimate, signed tools, so no malware signature ever exists (the Volt Typhoon pattern).</w:t>
            </w:r>
          </w:p>
        </w:tc>
      </w:tr>
      <w:tr>
        <w:tc>
          <w:tcPr>
            <w:tcW w:type="dxa" w:w="2736"/>
            <w:shd w:val="clear" w:fill="F4F6F8"/>
          </w:tcPr>
          <w:p>
            <w:pPr>
              <w:spacing w:after="40" w:before="40"/>
            </w:pPr>
            <w:r/>
            <w:r>
              <w:rPr>
                <w:rFonts w:ascii="Calibri" w:hAnsi="Calibri"/>
                <w:b/>
                <w:color w:val="0B1F3A"/>
                <w:sz w:val="18"/>
              </w:rPr>
              <w:t>C2 beaconing</w:t>
            </w:r>
          </w:p>
        </w:tc>
        <w:tc>
          <w:tcPr>
            <w:tcW w:type="dxa" w:w="7200"/>
          </w:tcPr>
          <w:p>
            <w:pPr>
              <w:spacing w:after="40" w:before="40"/>
            </w:pPr>
            <w:r/>
            <w:r>
              <w:rPr>
                <w:rFonts w:ascii="Calibri" w:hAnsi="Calibri"/>
                <w:b w:val="0"/>
                <w:sz w:val="18"/>
              </w:rPr>
              <w:t>Command-and-control check-ins: an implant periodically contacting its operator's infrastructure, often only a few times a day.</w:t>
            </w:r>
          </w:p>
        </w:tc>
      </w:tr>
      <w:tr>
        <w:tc>
          <w:tcPr>
            <w:tcW w:type="dxa" w:w="2736"/>
            <w:shd w:val="clear" w:fill="F4F6F8"/>
          </w:tcPr>
          <w:p>
            <w:pPr>
              <w:spacing w:after="40" w:before="40"/>
            </w:pPr>
            <w:r/>
            <w:r>
              <w:rPr>
                <w:rFonts w:ascii="Calibri" w:hAnsi="Calibri"/>
                <w:b/>
                <w:color w:val="0B1F3A"/>
                <w:sz w:val="18"/>
              </w:rPr>
              <w:t>Volt / Salt Typhoon</w:t>
            </w:r>
          </w:p>
        </w:tc>
        <w:tc>
          <w:tcPr>
            <w:tcW w:type="dxa" w:w="7200"/>
          </w:tcPr>
          <w:p>
            <w:pPr>
              <w:spacing w:after="40" w:before="40"/>
            </w:pPr>
            <w:r/>
            <w:r>
              <w:rPr>
                <w:rFonts w:ascii="Calibri" w:hAnsi="Calibri"/>
                <w:b w:val="0"/>
                <w:sz w:val="18"/>
              </w:rPr>
              <w:t>Real nation-state campaigns against U.S. critical infrastructure (CISA advisory AA24-038A) and telecommunications carriers; the blind test embeds campaigns of both classes.</w:t>
            </w:r>
          </w:p>
        </w:tc>
      </w:tr>
      <w:tr>
        <w:tc>
          <w:tcPr>
            <w:tcW w:type="dxa" w:w="2736"/>
            <w:shd w:val="clear" w:fill="F4F6F8"/>
          </w:tcPr>
          <w:p>
            <w:pPr>
              <w:spacing w:after="40" w:before="40"/>
            </w:pPr>
            <w:r/>
            <w:r>
              <w:rPr>
                <w:rFonts w:ascii="Calibri" w:hAnsi="Calibri"/>
                <w:b/>
                <w:color w:val="0B1F3A"/>
                <w:sz w:val="18"/>
              </w:rPr>
              <w:t>SIEM / SOC</w:t>
            </w:r>
          </w:p>
        </w:tc>
        <w:tc>
          <w:tcPr>
            <w:tcW w:type="dxa" w:w="7200"/>
          </w:tcPr>
          <w:p>
            <w:pPr>
              <w:spacing w:after="40" w:before="40"/>
            </w:pPr>
            <w:r/>
            <w:r>
              <w:rPr>
                <w:rFonts w:ascii="Calibri" w:hAnsi="Calibri"/>
                <w:b w:val="0"/>
                <w:sz w:val="18"/>
              </w:rPr>
              <w:t>Security Information and Event Management (the log-collection platform) / Security Operations Center (the team that triages its alerts).</w:t>
            </w:r>
          </w:p>
        </w:tc>
      </w:tr>
      <w:tr>
        <w:tc>
          <w:tcPr>
            <w:tcW w:type="dxa" w:w="2736"/>
            <w:shd w:val="clear" w:fill="F4F6F8"/>
          </w:tcPr>
          <w:p>
            <w:pPr>
              <w:spacing w:after="40" w:before="40"/>
            </w:pPr>
            <w:r/>
            <w:r>
              <w:rPr>
                <w:rFonts w:ascii="Calibri" w:hAnsi="Calibri"/>
                <w:b/>
                <w:color w:val="0B1F3A"/>
                <w:sz w:val="18"/>
              </w:rPr>
              <w:t>CUSUM</w:t>
            </w:r>
          </w:p>
        </w:tc>
        <w:tc>
          <w:tcPr>
            <w:tcW w:type="dxa" w:w="7200"/>
          </w:tcPr>
          <w:p>
            <w:pPr>
              <w:spacing w:after="40" w:before="40"/>
            </w:pPr>
            <w:r/>
            <w:r>
              <w:rPr>
                <w:rFonts w:ascii="Calibri" w:hAnsi="Calibri"/>
                <w:b w:val="0"/>
                <w:sz w:val="18"/>
              </w:rPr>
              <w:t>Cumulative-sum change detection — accumulating small week-over-week changes so a slow trend becomes visible even when each step is tiny.</w:t>
            </w:r>
          </w:p>
        </w:tc>
      </w:tr>
      <w:tr>
        <w:tc>
          <w:tcPr>
            <w:tcW w:type="dxa" w:w="2736"/>
            <w:shd w:val="clear" w:fill="F4F6F8"/>
          </w:tcPr>
          <w:p>
            <w:pPr>
              <w:spacing w:after="40" w:before="40"/>
            </w:pPr>
            <w:r/>
            <w:r>
              <w:rPr>
                <w:rFonts w:ascii="Calibri" w:hAnsi="Calibri"/>
                <w:b/>
                <w:color w:val="0B1F3A"/>
                <w:sz w:val="18"/>
              </w:rPr>
              <w:t>Z-Score</w:t>
            </w:r>
          </w:p>
        </w:tc>
        <w:tc>
          <w:tcPr>
            <w:tcW w:type="dxa" w:w="7200"/>
          </w:tcPr>
          <w:p>
            <w:pPr>
              <w:spacing w:after="40" w:before="40"/>
            </w:pPr>
            <w:r/>
            <w:r>
              <w:rPr>
                <w:rFonts w:ascii="Calibri" w:hAnsi="Calibri"/>
                <w:b w:val="0"/>
                <w:sz w:val="18"/>
              </w:rPr>
              <w:t>How many standard deviations a value sits from its own baseline average; z = 3 is a common alarm line. The Salt Typhoon entity never exceeded z = 1.71 — statistically "normal" throughout.</w:t>
            </w:r>
          </w:p>
        </w:tc>
      </w:tr>
      <w:tr>
        <w:tc>
          <w:tcPr>
            <w:tcW w:type="dxa" w:w="2736"/>
            <w:shd w:val="clear" w:fill="F4F6F8"/>
          </w:tcPr>
          <w:p>
            <w:pPr>
              <w:spacing w:after="40" w:before="40"/>
            </w:pPr>
            <w:r/>
            <w:r>
              <w:rPr>
                <w:rFonts w:ascii="Calibri" w:hAnsi="Calibri"/>
                <w:b/>
                <w:color w:val="0B1F3A"/>
                <w:sz w:val="18"/>
              </w:rPr>
              <w:t>False positive (FP)</w:t>
            </w:r>
          </w:p>
        </w:tc>
        <w:tc>
          <w:tcPr>
            <w:tcW w:type="dxa" w:w="7200"/>
          </w:tcPr>
          <w:p>
            <w:pPr>
              <w:spacing w:after="40" w:before="40"/>
            </w:pPr>
            <w:r/>
            <w:r>
              <w:rPr>
                <w:rFonts w:ascii="Calibri" w:hAnsi="Calibri"/>
                <w:b w:val="0"/>
                <w:sz w:val="18"/>
              </w:rPr>
              <w:t>A normal user flagged for review. Here 8.1% means 20 of 246 normal users ranked above the threshold that catches all four campaigns — a triage list, not auto-blocking.</w:t>
            </w:r>
          </w:p>
        </w:tc>
      </w:tr>
      <w:tr>
        <w:tc>
          <w:tcPr>
            <w:tcW w:type="dxa" w:w="2736"/>
            <w:shd w:val="clear" w:fill="F4F6F8"/>
          </w:tcPr>
          <w:p>
            <w:pPr>
              <w:spacing w:after="40" w:before="40"/>
            </w:pPr>
            <w:r/>
            <w:r>
              <w:rPr>
                <w:rFonts w:ascii="Calibri" w:hAnsi="Calibri"/>
                <w:b/>
                <w:color w:val="0B1F3A"/>
                <w:sz w:val="18"/>
              </w:rPr>
              <w:t>Operating point</w:t>
            </w:r>
          </w:p>
        </w:tc>
        <w:tc>
          <w:tcPr>
            <w:tcW w:type="dxa" w:w="7200"/>
          </w:tcPr>
          <w:p>
            <w:pPr>
              <w:spacing w:after="40" w:before="40"/>
            </w:pPr>
            <w:r/>
            <w:r>
              <w:rPr>
                <w:rFonts w:ascii="Calibri" w:hAnsi="Calibri"/>
                <w:b w:val="0"/>
                <w:sz w:val="18"/>
              </w:rPr>
              <w:t>The score threshold at which results are reported; here, the threshold that recalls 100% of the embedded campaigns.</w:t>
            </w:r>
          </w:p>
        </w:tc>
      </w:tr>
      <w:tr>
        <w:tc>
          <w:tcPr>
            <w:tcW w:type="dxa" w:w="2736"/>
            <w:shd w:val="clear" w:fill="F4F6F8"/>
          </w:tcPr>
          <w:p>
            <w:pPr>
              <w:spacing w:after="40" w:before="40"/>
            </w:pPr>
            <w:r/>
            <w:r>
              <w:rPr>
                <w:rFonts w:ascii="Calibri" w:hAnsi="Calibri"/>
                <w:b/>
                <w:color w:val="0B1F3A"/>
                <w:sz w:val="18"/>
              </w:rPr>
              <w:t>ROC AUC</w:t>
            </w:r>
          </w:p>
        </w:tc>
        <w:tc>
          <w:tcPr>
            <w:tcW w:type="dxa" w:w="7200"/>
          </w:tcPr>
          <w:p>
            <w:pPr>
              <w:spacing w:after="40" w:before="40"/>
            </w:pPr>
            <w:r/>
            <w:r>
              <w:rPr>
                <w:rFonts w:ascii="Calibri" w:hAnsi="Calibri"/>
                <w:b w:val="0"/>
                <w:sz w:val="18"/>
              </w:rPr>
              <w:t>Ranking quality: the probability a randomly chosen attacker outranks a randomly chosen normal user. 0.5 is a coin flip; 1.0 is perfect.</w:t>
            </w:r>
          </w:p>
        </w:tc>
      </w:tr>
      <w:tr>
        <w:tc>
          <w:tcPr>
            <w:tcW w:type="dxa" w:w="2736"/>
            <w:shd w:val="clear" w:fill="F4F6F8"/>
          </w:tcPr>
          <w:p>
            <w:pPr>
              <w:spacing w:after="40" w:before="40"/>
            </w:pPr>
            <w:r/>
            <w:r>
              <w:rPr>
                <w:rFonts w:ascii="Calibri" w:hAnsi="Calibri"/>
                <w:b/>
                <w:color w:val="0B1F3A"/>
                <w:sz w:val="18"/>
              </w:rPr>
              <w:t>Peer cohort</w:t>
            </w:r>
          </w:p>
        </w:tc>
        <w:tc>
          <w:tcPr>
            <w:tcW w:type="dxa" w:w="7200"/>
          </w:tcPr>
          <w:p>
            <w:pPr>
              <w:spacing w:after="40" w:before="40"/>
            </w:pPr>
            <w:r/>
            <w:r>
              <w:rPr>
                <w:rFonts w:ascii="Calibri" w:hAnsi="Calibri"/>
                <w:b w:val="0"/>
                <w:sz w:val="18"/>
              </w:rPr>
              <w:t>The entity's true comparison group (administrators vs. administrators, analysts vs. analysts) rather than the whole population.</w:t>
            </w:r>
          </w:p>
        </w:tc>
      </w:tr>
      <w:tr>
        <w:tc>
          <w:tcPr>
            <w:tcW w:type="dxa" w:w="2736"/>
            <w:shd w:val="clear" w:fill="F4F6F8"/>
          </w:tcPr>
          <w:p>
            <w:pPr>
              <w:spacing w:after="40" w:before="40"/>
            </w:pPr>
            <w:r/>
            <w:r>
              <w:rPr>
                <w:rFonts w:ascii="Calibri" w:hAnsi="Calibri"/>
                <w:b/>
                <w:color w:val="0B1F3A"/>
                <w:sz w:val="18"/>
              </w:rPr>
              <w:t>Novelty persistence</w:t>
            </w:r>
          </w:p>
        </w:tc>
        <w:tc>
          <w:tcPr>
            <w:tcW w:type="dxa" w:w="7200"/>
          </w:tcPr>
          <w:p>
            <w:pPr>
              <w:spacing w:after="40" w:before="40"/>
            </w:pPr>
            <w:r/>
            <w:r>
              <w:rPr>
                <w:rFonts w:ascii="Calibri" w:hAnsi="Calibri"/>
                <w:b w:val="0"/>
                <w:sz w:val="18"/>
              </w:rPr>
              <w:t>Recurring contact with never-before-seen infrastructure — the slow-APT tell that volume-based tools cannot measure.</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enterprise telemetry built to prove the concept before access to real operational data.</w:t>
            </w:r>
          </w:p>
        </w:tc>
      </w:tr>
    </w:tbl>
    <w:p>
      <w:pPr>
        <w:spacing w:after="120"/>
      </w:pPr>
      <w:r>
        <w:rPr>
          <w:b w:val="0"/>
          <w:i w:val="0"/>
          <w:sz w:val="21"/>
        </w:rPr>
      </w:r>
    </w:p>
    <w:p>
      <w:pPr>
        <w:spacing w:after="120"/>
      </w:pPr>
      <w:r>
        <w:rPr>
          <w:b w:val="0"/>
          <w:i/>
          <w:color w:val="555F6B"/>
          <w:sz w:val="18"/>
        </w:rPr>
        <w:t>Business Edition — architecture-level disclosure. Exact detection logic, formulas, thresholds, and scoring weights are proprietary and available in the full technical edition under NDA. All results are synthetic and must be re-validated on production telemetry.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