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Supply Chain and Logistics Network Defense</w:t>
      </w:r>
    </w:p>
    <w:p/>
    <w:p/>
    <w:p>
      <w:pPr>
        <w:jc w:val="center"/>
      </w:pPr>
      <w:r>
        <w:rPr>
          <w:color w:val="444444"/>
          <w:sz w:val="24"/>
        </w:rPr>
        <w:t>22nd Century Technologies, Inc.</w:t>
        <w:br/>
        <w:t>V-Intelligence UEBA Program</w:t>
        <w:br/>
        <w:br/>
        <w:t>June 2026 — Version 2.0</w:t>
        <w:br/>
        <w:br/>
        <w:t>Prepared for: Defense Logistics Agency — CIO and Program Executive Office</w:t>
      </w:r>
    </w:p>
    <w:p>
      <w:r>
        <w:br w:type="page"/>
      </w:r>
    </w:p>
    <w:p>
      <w:pPr>
        <w:pStyle w:val="Heading1"/>
      </w:pPr>
      <w:r>
        <w:rPr>
          <w:color w:val="0D1B2A"/>
        </w:rPr>
        <w:t>1. Executive Summary</w:t>
      </w:r>
    </w:p>
    <w:p>
      <w:pPr>
        <w:spacing w:after="40"/>
      </w:pPr>
      <w:r>
        <w:rPr>
          <w:b/>
          <w:i w:val="0"/>
          <w:color w:val="000000"/>
          <w:sz w:val="21"/>
        </w:rPr>
        <w:t>The Supply Chain Threat</w:t>
      </w:r>
    </w:p>
    <w:p>
      <w:pPr>
        <w:spacing w:after="120"/>
      </w:pPr>
      <w:r>
        <w:rPr>
          <w:b w:val="0"/>
          <w:i w:val="0"/>
          <w:color w:val="000000"/>
          <w:sz w:val="21"/>
        </w:rPr>
        <w:t>Defense logistics networks process millions of transactions daily across global supply chains — requisitions, inventory movements, vendor communications, and financial transfers. An insider with legitimate access to logistics systems can systematically exfiltrate procurement data, manipulate supply chain records, or establish covert channels to adversary-controlled infrastructure — all while generating transaction volumes indistinguishable from normal operations.</w:t>
      </w:r>
    </w:p>
    <w:p>
      <w:pPr>
        <w:spacing w:after="120"/>
      </w:pPr>
      <w:r>
        <w:rPr>
          <w:b w:val="0"/>
          <w:i w:val="0"/>
          <w:color w:val="000000"/>
          <w:sz w:val="21"/>
        </w:rPr>
        <w:t>DLA's mission-critical supply chain infrastructure is a high-value target for nation-state actors seeking to disrupt military readiness. The Volt Typhoon campaign (CISA AA23-144A) specifically targeted critical infrastructure using living-off-the-land techniques that evade traditional detection. V-Intelligence UEBA addresses this gap by detecting behavioral changes in HOW logistics personnel interact with systems, not just WHETHER they exceed volume thresholds.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8.1% false positive rate (20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#24) and Salt Typhoon (USR-118, rank #1) are detected by composite scoring at the 90th-percentile threshold with 8.1%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20</w:t>
            </w:r>
          </w:p>
        </w:tc>
        <w:tc>
          <w:tcPr>
            <w:tcW w:type="dxa" w:w="864"/>
          </w:tcPr>
          <w:p>
            <w:r>
              <w:rPr>
                <w:sz w:val="18"/>
              </w:rPr>
              <w:t>8.1%</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8.1%</w:t>
            </w:r>
          </w:p>
        </w:tc>
        <w:tc>
          <w:tcPr>
            <w:tcW w:type="dxa" w:w="4032"/>
          </w:tcPr>
          <w:p>
            <w:r>
              <w:rPr>
                <w:sz w:val="18"/>
              </w:rPr>
              <w:t>Detects all 4 with zone-level</w:t>
              <w:br/>
              <w:t>explanation. 20 FP — each with</w:t>
              <w:br/>
              <w:t>behavioral phase attribution.</w:t>
            </w:r>
          </w:p>
        </w:tc>
      </w:tr>
    </w:tbl>
    <w:p/>
    <w:p>
      <w:pPr>
        <w:spacing w:after="120"/>
      </w:pPr>
      <w:r>
        <w:rPr>
          <w:b w:val="0"/>
          <w:i w:val="0"/>
          <w:color w:val="000000"/>
          <w:sz w:val="21"/>
        </w:rPr>
        <w:t>Composite scoring's 8.1% false positive rate corresponds to 20 normal users flagged alongside the 4 attackers at the 90th-percentile threshold. In an operational setting, these 20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8.1%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(29.9) + Breadth (18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All four attackers rank in the top 25 of 250 users (top 10%). At the 90th percentile detection threshold, 4 of 4 attacks are detected with a false positive rate of 8.1% (20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8.1%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