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Behavioral Intelligence for Special Operations Cyber Defense</w:t>
      </w:r>
    </w:p>
    <w:p/>
    <w:p/>
    <w:p>
      <w:pPr>
        <w:jc w:val="center"/>
      </w:pPr>
      <w:r>
        <w:rPr>
          <w:color w:val="444444"/>
          <w:sz w:val="24"/>
        </w:rPr>
        <w:t>22nd Century Technologies, Inc.</w:t>
        <w:br/>
        <w:t>V-Intelligence UEBA Program</w:t>
        <w:br/>
        <w:br/>
        <w:t>June 2026 — Version 2.0</w:t>
        <w:br/>
        <w:br/>
        <w:t>Prepared for: United States Special Operations Command — SDA, EIS, S&amp;T, Innovation</w:t>
      </w:r>
    </w:p>
    <w:p>
      <w:r>
        <w:br w:type="page"/>
      </w:r>
    </w:p>
    <w:p>
      <w:pPr>
        <w:pStyle w:val="Heading1"/>
      </w:pPr>
      <w:r>
        <w:rPr>
          <w:color w:val="0D1B2A"/>
        </w:rPr>
        <w:t>1. Executive Summary</w:t>
      </w:r>
    </w:p>
    <w:p>
      <w:pPr>
        <w:spacing w:after="40"/>
      </w:pPr>
      <w:r>
        <w:rPr>
          <w:b/>
          <w:i w:val="0"/>
          <w:color w:val="000000"/>
          <w:sz w:val="21"/>
        </w:rPr>
        <w:t>The Special Operations Threat</w:t>
      </w:r>
    </w:p>
    <w:p>
      <w:pPr>
        <w:spacing w:after="120"/>
      </w:pPr>
      <w:r>
        <w:rPr>
          <w:b w:val="0"/>
          <w:i w:val="0"/>
          <w:color w:val="000000"/>
          <w:sz w:val="21"/>
        </w:rPr>
        <w:t>Special Operations Forces operate across multiple networks, classification levels, and geographic combatant commands. Personnel routinely access compartmented programs, operational plans, and intelligence sources. An insider threat in this environment carries disproportionate risk — a single compromised operator can expose source networks, mission timelines, and force disposition data that directly endangers lives.</w:t>
      </w:r>
    </w:p>
    <w:p>
      <w:pPr>
        <w:spacing w:after="120"/>
      </w:pPr>
      <w:r>
        <w:rPr>
          <w:b w:val="0"/>
          <w:i w:val="0"/>
          <w:color w:val="000000"/>
          <w:sz w:val="21"/>
        </w:rPr>
        <w:t>Nation-state adversaries actively target SOF infrastructure for intelligence collection. The Salt Typhoon campaign operated inside US telecom infrastructure for months before discovery, accessing lawful intercept systems and CDR databases. V-Intelligence UEBA detects these threats by building behavioral profiles across authentication, file access, network, and endpoint telemetry — identifying when an entity's behavior drifts from its established baseline across any of five behavioral dimensions, even when individual metrics remain within normal ranges.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 14-month insider threat, a slow APT with C2 beaconing, a Volt Typhoon living-off-the-land campaign, and a Salt Typhoon telecom infrastructure attack — we demonstrate that:</w:t>
      </w:r>
    </w:p>
    <w:p>
      <w:pPr>
        <w:pStyle w:val="ListBullet"/>
        <w:ind w:left="360"/>
      </w:pPr>
      <w:r>
        <w:rPr>
          <w:b/>
          <w:sz w:val="21"/>
        </w:rPr>
        <w:t xml:space="preserve">Finding 1: </w:t>
      </w:r>
      <w:r>
        <w:rPr>
          <w:sz w:val="21"/>
        </w:rPr>
        <w:t>Traditional anomaly detection (Isolation Forest, SVM, LOF, Z-Score) can detect anomalous users but provides no directional intelligence — it says 'anomalous' but not 'insider vs. APT vs. LOTL.' Operational triage requires knowing WHAT changed, not just that something changed.</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detects all 4 attack types at 8.5% false positive rate (21 false positives out of 246 normal users).</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(14-month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(C2 Beacon)</w:t>
            </w:r>
          </w:p>
        </w:tc>
        <w:tc>
          <w:tcPr>
            <w:tcW w:type="dxa" w:w="3600"/>
            <w:shd w:fill="EAF0F6"/>
          </w:tcPr>
          <w:p>
            <w:r>
              <w:rPr>
                <w:sz w:val="18"/>
              </w:rPr>
              <w:t>Rules check for known C2 domains</w:t>
              <w:br/>
              <w:t>or unusual ports</w:t>
            </w:r>
          </w:p>
        </w:tc>
        <w:tc>
          <w:tcPr>
            <w:tcW w:type="dxa" w:w="4320"/>
            <w:shd w:fill="EAF0F6"/>
          </w:tcPr>
          <w:p>
            <w:r>
              <w:rPr>
                <w:sz w:val="18"/>
              </w:rPr>
              <w:t>C2 beacons every 12 hours over HTTPS.</w:t>
              <w:br/>
              <w:t>Domain is newly registered (no reputation).</w:t>
              <w:br/>
              <w:t>Traffic volume is 12KB — invisible in enterprise traffic.</w:t>
            </w:r>
          </w:p>
        </w:tc>
      </w:tr>
      <w:tr>
        <w:tc>
          <w:tcPr>
            <w:tcW w:type="dxa" w:w="2160"/>
          </w:tcPr>
          <w:p>
            <w:r>
              <w:rPr>
                <w:sz w:val="18"/>
              </w:rPr>
              <w:t>Volt Typhoon LOTL</w:t>
              <w:br/>
              <w:t>(LOTL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(412-day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is about direction, not detection. Traditional algorithms DO detect anomalous users — Z-Score achieves 4/4 detection at 4.9% FP, LOF catches 3/4 at 3.3% FP. But they provide only undirected anomaly scores. An analyst receiving 'USR-156 is anomalous' cannot distinguish insider threat from role change from seasonal workflow variation without manual investigation of the underlying features — the detection provides no directional intelligence.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Slow APT C2 beacon:</w:t>
      </w:r>
    </w:p>
    <w:p>
      <w:pPr>
        <w:pStyle w:val="ListBullet"/>
        <w:ind w:left="360"/>
      </w:pPr>
      <w:r>
        <w:rPr>
          <w:sz w:val="21"/>
        </w:rPr>
        <w:t>Week 1-4: Establish presence. 0-1 DGA DNS queries per day (60% probability). Traffic: 8KB/day. Indistinguishable from software update checks.</w:t>
      </w:r>
    </w:p>
    <w:p>
      <w:pPr>
        <w:pStyle w:val="ListBullet"/>
        <w:ind w:left="360"/>
      </w:pPr>
      <w:r>
        <w:rPr>
          <w:sz w:val="21"/>
        </w:rPr>
        <w:t>Week 5-12: Light reconnaissance. Beacons every 12 hours (2-3/day). Data staging: 50KB per exfiltration. Below any volume threshold.</w:t>
      </w:r>
    </w:p>
    <w:p>
      <w:pPr>
        <w:pStyle w:val="ListBullet"/>
        <w:ind w:left="360"/>
      </w:pPr>
      <w:r>
        <w:rPr>
          <w:sz w:val="21"/>
        </w:rPr>
        <w:t>Week 13+: Gradual escalation. Privilege probing every 30 days. Data staging every 5 days, 5-10 files per staging event. Each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 14-month (60-week)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417-day (60-week) slow APT campaign with Command and Control (C2) beaconing as the primary operational mechanism:</w:t>
      </w:r>
    </w:p>
    <w:p>
      <w:pPr>
        <w:pStyle w:val="ListBullet"/>
        <w:ind w:left="360"/>
      </w:pPr>
      <w:r>
        <w:rPr>
          <w:sz w:val="21"/>
        </w:rPr>
        <w:t>C2 beacons every 12 hours (2-3 per day) — periodic but low-frequency</w:t>
      </w:r>
    </w:p>
    <w:p>
      <w:pPr>
        <w:pStyle w:val="ListBullet"/>
        <w:ind w:left="360"/>
      </w:pPr>
      <w:r>
        <w:rPr>
          <w:sz w:val="21"/>
        </w:rPr>
        <w:t>DGA (Domain Generation Algorithm) DNS queries: 0-1 per day (60% probability)</w:t>
      </w:r>
    </w:p>
    <w:p>
      <w:pPr>
        <w:pStyle w:val="ListBullet"/>
        <w:ind w:left="360"/>
      </w:pPr>
      <w:r>
        <w:rPr>
          <w:sz w:val="21"/>
        </w:rPr>
        <w:t>Data staging every 5 days — 5-10 files per event,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412-day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412-day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400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(412-485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14 months</w:t>
              <w:br/>
              <w:t>(60 weeks)</w:t>
            </w:r>
          </w:p>
        </w:tc>
        <w:tc>
          <w:tcPr>
            <w:tcW w:type="dxa" w:w="1008"/>
          </w:tcPr>
          <w:p>
            <w:r>
              <w:rPr>
                <w:sz w:val="18"/>
              </w:rPr>
              <w:t>USR-156</w:t>
            </w:r>
          </w:p>
        </w:tc>
        <w:tc>
          <w:tcPr>
            <w:tcW w:type="dxa" w:w="4752"/>
          </w:tcPr>
          <w:p>
            <w:r>
              <w:rPr>
                <w:sz w:val="18"/>
              </w:rPr>
              <w:t>T1078 (Valid Accounts), T1083 (File Discovery),</w:t>
              <w:br/>
              <w:t>T1005 (Local Data), T1039 (Network Shared Drive),</w:t>
              <w:br/>
              <w:t>T1052 (Exfil Physical), T1048 (Exfil Alt Protocol),</w:t>
              <w:br/>
              <w:t>T1567 (Exfil Over Web Service)</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417 days</w:t>
              <w:br/>
              <w:t>(~60 weeks)</w:t>
            </w:r>
          </w:p>
        </w:tc>
        <w:tc>
          <w:tcPr>
            <w:tcW w:type="dxa" w:w="1008"/>
            <w:shd w:fill="EAF0F6"/>
          </w:tcPr>
          <w:p>
            <w:r>
              <w:rPr>
                <w:sz w:val="18"/>
              </w:rPr>
              <w:t>USR-234</w:t>
            </w:r>
          </w:p>
        </w:tc>
        <w:tc>
          <w:tcPr>
            <w:tcW w:type="dxa" w:w="4752"/>
            <w:shd w:fill="EAF0F6"/>
          </w:tcPr>
          <w:p>
            <w:r>
              <w:rPr>
                <w:sz w:val="18"/>
              </w:rPr>
              <w:t>T1071 (App Layer Protocol), T1573 (Encrypted Channel),</w:t>
              <w:br/>
              <w:t>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412 days</w:t>
              <w:br/>
              <w:t>(~59 weeks)</w:t>
            </w:r>
          </w:p>
        </w:tc>
        <w:tc>
          <w:tcPr>
            <w:tcW w:type="dxa" w:w="1008"/>
          </w:tcPr>
          <w:p>
            <w:r>
              <w:rPr>
                <w:sz w:val="18"/>
              </w:rPr>
              <w:t>USR-042</w:t>
            </w:r>
          </w:p>
        </w:tc>
        <w:tc>
          <w:tcPr>
            <w:tcW w:type="dxa" w:w="4752"/>
          </w:tcPr>
          <w:p>
            <w:r>
              <w:rPr>
                <w:sz w:val="18"/>
              </w:rPr>
              <w:t>T1059.001 (PowerShell), T1003 (Credential Dumping),</w:t>
              <w:br/>
              <w:t>T1021 (Remote Services), T1078 (Valid Accounts),</w:t>
              <w:br/>
              <w:t>T1090 (Proxy), T1570 (Lateral Tool Transfer),</w:t>
              <w:br/>
              <w:t>T1083 (File Discovery), T1018 (Remote System Discovery)</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412 days</w:t>
              <w:br/>
              <w:t>(~59 weeks)</w:t>
            </w:r>
          </w:p>
        </w:tc>
        <w:tc>
          <w:tcPr>
            <w:tcW w:type="dxa" w:w="1008"/>
            <w:shd w:fill="EAF0F6"/>
          </w:tcPr>
          <w:p>
            <w:r>
              <w:rPr>
                <w:sz w:val="18"/>
              </w:rPr>
              <w:t>USR-118</w:t>
            </w:r>
          </w:p>
        </w:tc>
        <w:tc>
          <w:tcPr>
            <w:tcW w:type="dxa" w:w="4752"/>
            <w:shd w:fill="EAF0F6"/>
          </w:tcPr>
          <w:p>
            <w:r>
              <w:rPr>
                <w:sz w:val="18"/>
              </w:rPr>
              <w:t>T1557 (Adversary-in-the-Middle), T1040 (Network Sniffing),</w:t>
              <w:br/>
              <w:t>T1005 (Local Data), T1071.004 (DNS Protocol C2),</w:t>
              <w:br/>
              <w:t>T1041 (Exfil Over C2), T1014 (Rootkit),</w:t>
              <w:br/>
              <w:t>T1556 (Modify Auth), T1048.003 (Exfil Unencrypted)</w:t>
            </w:r>
          </w:p>
        </w:tc>
      </w:tr>
    </w:tbl>
    <w:p/>
    <w:p>
      <w:pPr>
        <w:pStyle w:val="Heading2"/>
      </w:pPr>
      <w:r>
        <w:rPr>
          <w:color w:val="1B4F72"/>
        </w:rPr>
        <w:t>8.2a. Synthetic Data Realism: Modeling Salt Typhoon and Volt Typhoon</w:t>
      </w:r>
    </w:p>
    <w:p>
      <w:pPr>
        <w:spacing w:after="120"/>
      </w:pPr>
      <w:r>
        <w:rPr>
          <w:b w:val="0"/>
          <w:i w:val="0"/>
          <w:color w:val="000000"/>
          <w:sz w:val="21"/>
        </w:rPr>
        <w:t>A critical question for any simulation-based validation is fidelity: does the synthetic data realistically represent the adversary tradecraft it claims to model? For Salt Typhoon and Volt Typhoon, the answer is grounded in publicly disclosed threat intelligence from CISA, the FBI, the NSA, and congressional testimony.</w:t>
      </w:r>
    </w:p>
    <w:p>
      <w:pPr>
        <w:pStyle w:val="Heading3"/>
      </w:pPr>
      <w:r>
        <w:rPr>
          <w:color w:val="1B4F72"/>
        </w:rPr>
        <w:t>Volt Typhoon (USR-042): Living-Off-the-Land Fidelity</w:t>
      </w:r>
    </w:p>
    <w:p>
      <w:pPr>
        <w:spacing w:after="120"/>
      </w:pPr>
      <w:r>
        <w:rPr>
          <w:b w:val="0"/>
          <w:i w:val="0"/>
          <w:color w:val="000000"/>
          <w:sz w:val="21"/>
        </w:rPr>
        <w:t>Our Volt Typhoon simulation was built directly from CISA Advisory AA23-144A and the February 2024 follow-up advisory AA24-038A, which documented the tradecraft of this Chinese state-sponsored actor targeting U.S. critical infrastructure. The simulation faithfully reproduces the following real-world characteristics:</w:t>
      </w:r>
    </w:p>
    <w:p>
      <w:pPr>
        <w:spacing w:after="40"/>
      </w:pPr>
      <w:r>
        <w:rPr>
          <w:b/>
          <w:i w:val="0"/>
          <w:color w:val="000000"/>
          <w:sz w:val="21"/>
        </w:rPr>
        <w:t>Tooling — exclusively legitimate admin utilities:</w:t>
      </w:r>
    </w:p>
    <w:p>
      <w:pPr>
        <w:pStyle w:val="ListBullet"/>
        <w:ind w:left="360"/>
      </w:pPr>
      <w:r>
        <w:rPr>
          <w:sz w:val="21"/>
        </w:rPr>
        <w:t>The simulation uses only tools documented in the CISA advisory: PowerShell, WMI (wmic.exe), certutil.exe, netsh.exe, nltest.exe, ntdsutil.exe, cmdkey.exe, vssadmin.exe, net.exe, reg.exe, and PsExec. No custom malware, no exploit binaries, no dropped payloads. Every process execution in the simulated attack is a tool that exists in a default Windows enterprise deployment.</w:t>
      </w:r>
    </w:p>
    <w:p>
      <w:pPr>
        <w:pStyle w:val="ListBullet"/>
        <w:ind w:left="360"/>
      </w:pPr>
      <w:r>
        <w:rPr>
          <w:sz w:val="21"/>
        </w:rPr>
        <w:t>Command lines replicate real advisory examples: 'powershell -ep bypass -c Get-ADUser -Filter *', 'wmic /node:{target} process list brief', 'ntdsutil "activate instance ntds" ifm "create full c:\\temp\\ntds"' — these are taken verbatim from CISA-documented Volt Typhoon behavior.</w:t>
      </w:r>
    </w:p>
    <w:p>
      <w:pPr>
        <w:spacing w:after="40"/>
      </w:pPr>
      <w:r>
        <w:rPr>
          <w:b/>
          <w:i w:val="0"/>
          <w:color w:val="000000"/>
          <w:sz w:val="21"/>
        </w:rPr>
        <w:t>Lateral movement pattern:</w:t>
      </w:r>
    </w:p>
    <w:p>
      <w:pPr>
        <w:pStyle w:val="ListBullet"/>
        <w:ind w:left="360"/>
      </w:pPr>
      <w:r>
        <w:rPr>
          <w:sz w:val="21"/>
        </w:rPr>
        <w:t>Initial access via VPN with compromised credentials (not exploit), matching the advisory's finding that Volt Typhoon used valid accounts (T1078) obtained through credential harvesting, not zero-day exploits.</w:t>
      </w:r>
    </w:p>
    <w:p>
      <w:pPr>
        <w:pStyle w:val="ListBullet"/>
        <w:ind w:left="360"/>
      </w:pPr>
      <w:r>
        <w:rPr>
          <w:sz w:val="21"/>
        </w:rPr>
        <w:t>Gradual expansion of unique internal destinations over 120 days — the simulation tracks a growing list of compromised systems, moving from internal (10.0.2.x) to management (10.0.1.x, 10.0.10.x) to restricted (10.0.3.x, 10.0.20.x) network segments. This mirrors the advisory's description of patient lateral movement across segmented networks.</w:t>
      </w:r>
    </w:p>
    <w:p>
      <w:pPr>
        <w:pStyle w:val="ListBullet"/>
        <w:ind w:left="360"/>
      </w:pPr>
      <w:r>
        <w:rPr>
          <w:sz w:val="21"/>
        </w:rPr>
        <w:t>RDP (port 3389), SMB (port 445), WMI (port 5985), and SSH (port 22) for lateral movement — the exact protocols documented in T1021 (Remote Services).</w:t>
      </w:r>
    </w:p>
    <w:p>
      <w:pPr>
        <w:spacing w:after="40"/>
      </w:pPr>
      <w:r>
        <w:rPr>
          <w:b/>
          <w:i w:val="0"/>
          <w:color w:val="000000"/>
          <w:sz w:val="21"/>
        </w:rPr>
        <w:t>C2 discipline:</w:t>
      </w:r>
    </w:p>
    <w:p>
      <w:pPr>
        <w:pStyle w:val="ListBullet"/>
        <w:ind w:left="360"/>
      </w:pPr>
      <w:r>
        <w:rPr>
          <w:sz w:val="21"/>
        </w:rPr>
        <w:t>Extremely minimal external traffic: one HTTPS check-in to a compromised SOHO router proxy (203.0.113.88) every 3-5 days, with data volumes of 100-800 bytes outbound and 50-400 bytes inbound per session. This matches the advisory's finding that Volt Typhoon used compromised SOHO network devices as proxy nodes and maintained minimal external communications — the opposite of noisy C2 beacon patterns.</w:t>
      </w:r>
    </w:p>
    <w:p>
      <w:pPr>
        <w:pStyle w:val="ListBullet"/>
        <w:ind w:left="360"/>
      </w:pPr>
      <w:r>
        <w:rPr>
          <w:sz w:val="21"/>
        </w:rPr>
        <w:t>No exfiltration of data — the campaign is pre-positioning for future disruption, not intelligence collection. This is the core strategic finding from the advisory: Volt Typhoon was establishing persistent access to critical infrastructure for potential activation during a geopolitical crisis.</w:t>
      </w:r>
    </w:p>
    <w:p>
      <w:pPr>
        <w:spacing w:after="40"/>
      </w:pPr>
      <w:r>
        <w:rPr>
          <w:b/>
          <w:i w:val="0"/>
          <w:color w:val="000000"/>
          <w:sz w:val="21"/>
        </w:rPr>
        <w:t>Temporal realism:</w:t>
      </w:r>
    </w:p>
    <w:p>
      <w:pPr>
        <w:pStyle w:val="ListBullet"/>
        <w:ind w:left="360"/>
      </w:pPr>
      <w:r>
        <w:rPr>
          <w:sz w:val="21"/>
        </w:rPr>
        <w:t>4-phase progression over 120 days: initial VPN access (days 1-14, 15% daily probability), credential harvesting (days 15-45, 25%), lateral movement (days 46-90, 35%), pre-positioning (days 91+, 25% — intentionally lowered as the actor settles into dormant persistence).</w:t>
      </w:r>
    </w:p>
    <w:p>
      <w:pPr>
        <w:pStyle w:val="ListBullet"/>
        <w:ind w:left="360"/>
      </w:pPr>
      <w:r>
        <w:rPr>
          <w:sz w:val="21"/>
        </w:rPr>
        <w:t>Activity concentrated during off-hours (2:00-5:00 AM, 21:00-23:30) mixed with business-hours activity (10:00-16:00) — matching the advisory's observation that Volt Typhoon blended malicious activity with normal administrative tasks.</w:t>
      </w:r>
    </w:p>
    <w:p>
      <w:pPr>
        <w:pStyle w:val="Heading3"/>
      </w:pPr>
      <w:r>
        <w:rPr>
          <w:color w:val="1B4F72"/>
        </w:rPr>
        <w:t>Salt Typhoon (USR-118): Telecom Infrastructure Fidelity</w:t>
      </w:r>
    </w:p>
    <w:p>
      <w:pPr>
        <w:spacing w:after="120"/>
      </w:pPr>
      <w:r>
        <w:rPr>
          <w:b w:val="0"/>
          <w:i w:val="0"/>
          <w:color w:val="000000"/>
          <w:sz w:val="21"/>
        </w:rPr>
        <w:t>Our Salt Typhoon simulation was modeled on the 2024 disclosure that Chinese state-sponsored actors compromised at least nine U.S. telecommunications providers including AT&amp;T, Verizon, Lumen Technologies, and T-Mobile. The campaign, briefed to Congress and acknowledged by the White House, represents one of the most significant telecom breaches in U.S. history.</w:t>
      </w:r>
    </w:p>
    <w:p>
      <w:pPr>
        <w:spacing w:after="40"/>
      </w:pPr>
      <w:r>
        <w:rPr>
          <w:b/>
          <w:i w:val="0"/>
          <w:color w:val="000000"/>
          <w:sz w:val="21"/>
        </w:rPr>
        <w:t>Target set — telecom-specific data stores:</w:t>
      </w:r>
    </w:p>
    <w:p>
      <w:pPr>
        <w:pStyle w:val="ListBullet"/>
        <w:ind w:left="360"/>
      </w:pPr>
      <w:r>
        <w:rPr>
          <w:sz w:val="21"/>
        </w:rPr>
        <w:t>The simulation targets 12 specific database paths: call detail records (CDR), SMS metadata, voicemail indices, lawful intercept configuration and target lists, BGP routing configuration, MPLS tunnel configurations, subscriber databases, number portability records, and core router/switch configurations. These mirror the publicly reported Salt Typhoon objectives: accessing CDR systems to identify who was communicating with whom, and penetrating lawful intercept systems to monitor specific surveillance targets.</w:t>
      </w:r>
    </w:p>
    <w:p>
      <w:pPr>
        <w:pStyle w:val="ListBullet"/>
        <w:ind w:left="360"/>
      </w:pPr>
      <w:r>
        <w:rPr>
          <w:sz w:val="21"/>
        </w:rPr>
        <w:t>Data classifications match real-world sensitivity: lawful intercept files are classified 'restricted' (court-ordered surveillance data), while CDR and routing data are classified 'confidential.' This reflects the actual classification hierarchy in telecom environments.</w:t>
      </w:r>
    </w:p>
    <w:p>
      <w:pPr>
        <w:spacing w:after="40"/>
      </w:pPr>
      <w:r>
        <w:rPr>
          <w:b/>
          <w:i w:val="0"/>
          <w:color w:val="000000"/>
          <w:sz w:val="21"/>
        </w:rPr>
        <w:t>DNS tunneling C2 channel:</w:t>
      </w:r>
    </w:p>
    <w:p>
      <w:pPr>
        <w:pStyle w:val="ListBullet"/>
        <w:ind w:left="360"/>
      </w:pPr>
      <w:r>
        <w:rPr>
          <w:sz w:val="21"/>
        </w:rPr>
        <w:t>C2 communications use DNS tunneling through domains designed to mimic legitimate Microsoft services: 'cdn-check.microsoftupdate-service.com', 'telemetry.azure-cdn-edge.net', 'api.graph-analytics-prod.com', 'sync.onedrive-business-relay.com'. DNS queries use TXT, MX, A, and CNAME record types with 16-48 character random subdomains encoding payload data. This technique matches the DNS-over-HTTPS exfiltration methods attributed to Salt Typhoon in threat intelligence reporting.</w:t>
      </w:r>
    </w:p>
    <w:p>
      <w:pPr>
        <w:pStyle w:val="ListBullet"/>
        <w:ind w:left="360"/>
      </w:pPr>
      <w:r>
        <w:rPr>
          <w:sz w:val="21"/>
        </w:rPr>
        <w:t>Query volume ramps with campaign phase: 3-6 queries/day in early phases, scaling to 6-18 queries/day during active exfiltration. This progressive escalation mirrors the observed Salt Typhoon pattern of gradually increasing data throughput as the actor gained confidence that the compromise was undetected.</w:t>
      </w:r>
    </w:p>
    <w:p>
      <w:pPr>
        <w:spacing w:after="40"/>
      </w:pPr>
      <w:r>
        <w:rPr>
          <w:b/>
          <w:i w:val="0"/>
          <w:color w:val="000000"/>
          <w:sz w:val="21"/>
        </w:rPr>
        <w:t>Persistence mechanism:</w:t>
      </w:r>
    </w:p>
    <w:p>
      <w:pPr>
        <w:pStyle w:val="ListBullet"/>
        <w:ind w:left="360"/>
      </w:pPr>
      <w:r>
        <w:rPr>
          <w:sz w:val="21"/>
        </w:rPr>
        <w:t>Kernel-level rootkit disguised as legitimate system processes: 'kworker', 'systemd-networkd', 'dhclient' — processes that exist on every Linux network appliance. This mirrors Salt Typhoon's documented persistence on Cisco IOS XE and other network operating systems through kernel-mode implants that survive reboots.</w:t>
      </w:r>
    </w:p>
    <w:p>
      <w:pPr>
        <w:pStyle w:val="ListBullet"/>
        <w:ind w:left="360"/>
      </w:pPr>
      <w:r>
        <w:rPr>
          <w:sz w:val="21"/>
        </w:rPr>
        <w:t>Staging directories use paths that blend with system directories: '/tmp/.cache/systemd-resolved', '/var/log/.journal-checkpoint', '/opt/telemetry/.metrics-buffer'. The dot-prefixed naming convention hides directories from default 'ls' output, matching the operational security discipline documented in Salt Typhoon analysis.</w:t>
      </w:r>
    </w:p>
    <w:p>
      <w:pPr>
        <w:spacing w:after="40"/>
      </w:pPr>
      <w:r>
        <w:rPr>
          <w:b/>
          <w:i w:val="0"/>
          <w:color w:val="000000"/>
          <w:sz w:val="21"/>
        </w:rPr>
        <w:t>Exfiltration volume and pattern:</w:t>
      </w:r>
    </w:p>
    <w:p>
      <w:pPr>
        <w:pStyle w:val="ListBullet"/>
        <w:ind w:left="360"/>
      </w:pPr>
      <w:r>
        <w:rPr>
          <w:sz w:val="21"/>
        </w:rPr>
        <w:t>Phase 4 (days 76+) includes daily staging writes of 5-200 MB to hidden directories, followed by bulk HTTPS transfers of 5-50 MB to the exfiltration IP (198.18.0.77) with 80% daily probability. The asymmetric traffic pattern (megabytes out, kilobytes in) is the classic exfiltration signature. The volumes are calibrated to represent CDR database extracts — a single day's CDR data for a major carrier is typically 50-200 GB uncompressed, so the simulated 5-50 MB/day represents compressed/filtered extractions of targeted records.</w:t>
      </w:r>
    </w:p>
    <w:p>
      <w:pPr>
        <w:spacing w:after="40"/>
      </w:pPr>
      <w:r>
        <w:rPr>
          <w:b/>
          <w:i w:val="0"/>
          <w:color w:val="000000"/>
          <w:sz w:val="21"/>
        </w:rPr>
        <w:t>4-phase progression:</w:t>
      </w:r>
    </w:p>
    <w:p>
      <w:pPr>
        <w:pStyle w:val="ListBullet"/>
        <w:ind w:left="360"/>
      </w:pPr>
      <w:r>
        <w:rPr>
          <w:sz w:val="21"/>
        </w:rPr>
        <w:t>Phase 1 (days 1-10, 40% daily prob): Edge device compromise via SSH with off-hours timing (1:00-4:00 AM) from DMZ IPs — mimicking vendor access credentials.</w:t>
      </w:r>
    </w:p>
    <w:p>
      <w:pPr>
        <w:pStyle w:val="ListBullet"/>
        <w:ind w:left="360"/>
      </w:pPr>
      <w:r>
        <w:rPr>
          <w:sz w:val="21"/>
        </w:rPr>
        <w:t>Phase 2 (days 11-40, 60% daily prob): Network infrastructure mapping with 2-6 lateral logins per day to internal/DMZ segments using SSH, Kerberos, and NTLM authentication.</w:t>
      </w:r>
    </w:p>
    <w:p>
      <w:pPr>
        <w:pStyle w:val="ListBullet"/>
        <w:ind w:left="360"/>
      </w:pPr>
      <w:r>
        <w:rPr>
          <w:sz w:val="21"/>
        </w:rPr>
        <w:t>Phase 3 (days 41-75, 80% daily prob): CDR/communications data collection — 8-25 file accesses per day targeting telecom databases, with read and copy operations on files ranging from 500 KB to 100 MB.</w:t>
      </w:r>
    </w:p>
    <w:p>
      <w:pPr>
        <w:pStyle w:val="ListBullet"/>
        <w:ind w:left="360"/>
      </w:pPr>
      <w:r>
        <w:rPr>
          <w:sz w:val="21"/>
        </w:rPr>
        <w:t>Phase 4 (days 76-100, 90% daily prob): Staged exfiltration — multiple daily staging writes followed by bulk HTTPS transfers.</w:t>
      </w:r>
    </w:p>
    <w:p>
      <w:pPr>
        <w:pBdr>
          <w:left w:val="single" w:sz="24" w:space="12" w:color="0E6B8A"/>
        </w:pBdr>
        <w:shd w:fill="EAF4F7" w:val="clear"/>
        <w:spacing w:before="160" w:after="160"/>
      </w:pPr>
      <w:r>
        <w:rPr>
          <w:b/>
          <w:color w:val="0D1B2A"/>
          <w:sz w:val="21"/>
        </w:rPr>
        <w:t>REALISM ASSESSMENT: Both attack simulations use MITRE ATT&amp;CK technique mappings drawn directly from CISA advisories. Volt Typhoon maps to T1059.001, T1003, T1021, T1078, T1090, T1570, T1083, T1018. Salt Typhoon maps to T1557, T1040, T1005, T1071.004, T1041, T1014, T1556, T1048.003. Tool names, command-line patterns, lateral movement protocols, C2 discipline, and temporal pacing are all calibrated against publicly available threat intelligence. The synthetic data is designed to test whether behavioral analytics can detect these campaigns when signature-based tools cannot — the same challenge real SOC teams face.</w:t>
      </w:r>
    </w:p>
    <w:p>
      <w:pPr>
        <w:pStyle w:val="Heading2"/>
      </w:pPr>
      <w:r>
        <w:rPr>
          <w:color w:val="1B4F72"/>
        </w:rPr>
        <w:t>8.2b. How Salt Typhoon and Volt Typhoon Were Actually Detected</w:t>
      </w:r>
    </w:p>
    <w:p>
      <w:pPr>
        <w:spacing w:after="120"/>
      </w:pPr>
      <w:r>
        <w:rPr>
          <w:b w:val="0"/>
          <w:i w:val="0"/>
          <w:color w:val="000000"/>
          <w:sz w:val="21"/>
        </w:rPr>
        <w:t>Understanding how these campaigns were discovered in the real world illuminates both the limitations of current detection and the opportunity for behavioral analytics to close the gap.</w:t>
      </w:r>
    </w:p>
    <w:p>
      <w:pPr>
        <w:pStyle w:val="Heading3"/>
      </w:pPr>
      <w:r>
        <w:rPr>
          <w:color w:val="1B4F72"/>
        </w:rPr>
        <w:t>Volt Typhoon — Detection Timeline</w:t>
      </w:r>
    </w:p>
    <w:p>
      <w:pPr>
        <w:spacing w:after="120"/>
      </w:pPr>
      <w:r>
        <w:rPr>
          <w:b w:val="0"/>
          <w:i w:val="0"/>
          <w:color w:val="000000"/>
          <w:sz w:val="21"/>
        </w:rPr>
        <w:t>Volt Typhoon was NOT detected by the organizations it compromised. The campaign was discovered through intelligence community operations and partner notifications:</w:t>
      </w:r>
    </w:p>
    <w:p>
      <w:pPr>
        <w:pStyle w:val="ListBullet"/>
        <w:ind w:left="360"/>
      </w:pPr>
      <w:r>
        <w:rPr>
          <w:b/>
          <w:sz w:val="21"/>
        </w:rPr>
        <w:t xml:space="preserve">Discovery (May 2023): </w:t>
      </w:r>
      <w:r>
        <w:rPr>
          <w:sz w:val="21"/>
        </w:rPr>
        <w:t>Microsoft Threat Intelligence identified the campaign in May 2023 through analysis of network traffic patterns across its customer base — specifically, anomalous authentication patterns from compromised SOHO routers proxying into enterprise networks.</w:t>
      </w:r>
    </w:p>
    <w:p>
      <w:pPr>
        <w:pStyle w:val="ListBullet"/>
        <w:ind w:left="360"/>
      </w:pPr>
      <w:r>
        <w:rPr>
          <w:b/>
          <w:sz w:val="21"/>
        </w:rPr>
        <w:t xml:space="preserve">Advisory (May 2023): </w:t>
      </w:r>
      <w:r>
        <w:rPr>
          <w:sz w:val="21"/>
        </w:rPr>
        <w:t>CISA, NSA, FBI, and Five Eyes partners issued Joint Advisory AA23-144A documenting the tradecraft. The advisory explicitly noted that traditional endpoint detection tools were ineffective because Volt Typhoon used only legitimate system utilities.</w:t>
      </w:r>
    </w:p>
    <w:p>
      <w:pPr>
        <w:pStyle w:val="ListBullet"/>
        <w:ind w:left="360"/>
      </w:pPr>
      <w:r>
        <w:rPr>
          <w:b/>
          <w:sz w:val="21"/>
        </w:rPr>
        <w:t xml:space="preserve">Disruption (Jan 2024): </w:t>
      </w:r>
      <w:r>
        <w:rPr>
          <w:sz w:val="21"/>
        </w:rPr>
        <w:t>In January 2024, the FBI disrupted the KV Botnet — a network of compromised SOHO routers that Volt Typhoon used as proxy infrastructure. This disrupted the C2 channel but did not necessarily remove the pre-positioned access within target organizations.</w:t>
      </w:r>
    </w:p>
    <w:p>
      <w:pPr>
        <w:pStyle w:val="ListBullet"/>
        <w:ind w:left="360"/>
      </w:pPr>
      <w:r>
        <w:rPr>
          <w:b/>
          <w:sz w:val="21"/>
        </w:rPr>
        <w:t xml:space="preserve">5-Year Persistence (Feb 2024): </w:t>
      </w:r>
      <w:r>
        <w:rPr>
          <w:sz w:val="21"/>
        </w:rPr>
        <w:t>CISA issued follow-up advisory AA24-038A in February 2024 revealing that Volt Typhoon had maintained persistent access to some U.S. critical infrastructure organizations for 'at least five years' without detection by the victim organizations.</w:t>
      </w:r>
    </w:p>
    <w:p>
      <w:pPr>
        <w:pBdr>
          <w:left w:val="single" w:sz="24" w:space="12" w:color="C0392B"/>
        </w:pBdr>
        <w:shd w:fill="EAF4F7" w:val="clear"/>
        <w:spacing w:before="160" w:after="160"/>
      </w:pPr>
      <w:r>
        <w:rPr>
          <w:b/>
          <w:color w:val="0D1B2A"/>
          <w:sz w:val="21"/>
        </w:rPr>
        <w:t>KEY INSIGHT: No victim organization detected Volt Typhoon through its own security monitoring. The campaign was identified externally through intelligence community operations. This is the exact detection gap that behavioral analytics addresses — the LOTL tradecraft evaded every signature-based, rule-based, and IOC-based detection system deployed at the target organizations. A behavioral system tracking the gradual expansion of admin tool usage across network segments during off-hours would have surfaced the anomaly within weeks, not years.</w:t>
      </w:r>
    </w:p>
    <w:p>
      <w:pPr>
        <w:pStyle w:val="Heading3"/>
      </w:pPr>
      <w:r>
        <w:rPr>
          <w:color w:val="1B4F72"/>
        </w:rPr>
        <w:t>Salt Typhoon — Detection Timeline</w:t>
      </w:r>
    </w:p>
    <w:p>
      <w:pPr>
        <w:spacing w:after="120"/>
      </w:pPr>
      <w:r>
        <w:rPr>
          <w:b w:val="0"/>
          <w:i w:val="0"/>
          <w:color w:val="000000"/>
          <w:sz w:val="21"/>
        </w:rPr>
        <w:t>Salt Typhoon was similarly discovered through external intelligence, not internal security monitoring at the compromised telecom providers:</w:t>
      </w:r>
    </w:p>
    <w:p>
      <w:pPr>
        <w:pStyle w:val="ListBullet"/>
        <w:ind w:left="360"/>
      </w:pPr>
      <w:r>
        <w:rPr>
          <w:b/>
          <w:sz w:val="21"/>
        </w:rPr>
        <w:t xml:space="preserve">Intelligence Discovery (Summer 2024): </w:t>
      </w:r>
      <w:r>
        <w:rPr>
          <w:sz w:val="21"/>
        </w:rPr>
        <w:t>U.S. intelligence agencies detected the campaign in late summer 2024 through signals intelligence and counterintelligence operations. The compromised telecom providers — AT&amp;T, Verizon, Lumen Technologies, T-Mobile, and at least five others — were notified by the government that their networks were compromised.</w:t>
      </w:r>
    </w:p>
    <w:p>
      <w:pPr>
        <w:pStyle w:val="ListBullet"/>
        <w:ind w:left="360"/>
      </w:pPr>
      <w:r>
        <w:rPr>
          <w:b/>
          <w:sz w:val="21"/>
        </w:rPr>
        <w:t xml:space="preserve">Public Disclosure (Oct 2024): </w:t>
      </w:r>
      <w:r>
        <w:rPr>
          <w:sz w:val="21"/>
        </w:rPr>
        <w:t>The Wall Street Journal first reported the campaign in October 2024, citing officials who described it as potentially the most significant telecom breach in U.S. history.</w:t>
      </w:r>
    </w:p>
    <w:p>
      <w:pPr>
        <w:pStyle w:val="ListBullet"/>
        <w:ind w:left="360"/>
      </w:pPr>
      <w:r>
        <w:rPr>
          <w:b/>
          <w:sz w:val="21"/>
        </w:rPr>
        <w:t xml:space="preserve">Scope Revealed (Nov-Dec 2024): </w:t>
      </w:r>
      <w:r>
        <w:rPr>
          <w:sz w:val="21"/>
        </w:rPr>
        <w:t>Congressional briefings in November-December 2024 revealed the scope: the attackers had accessed CDR (Call Detail Record) databases, targeted communications of senior U.S. government officials and political figures, and penetrated lawful intercept systems used for court-ordered surveillance.</w:t>
      </w:r>
    </w:p>
    <w:p>
      <w:pPr>
        <w:pStyle w:val="ListBullet"/>
        <w:ind w:left="360"/>
      </w:pPr>
      <w:r>
        <w:rPr>
          <w:b/>
          <w:sz w:val="21"/>
        </w:rPr>
        <w:t xml:space="preserve">Government Response (Jan 2025): </w:t>
      </w:r>
      <w:r>
        <w:rPr>
          <w:sz w:val="21"/>
        </w:rPr>
        <w:t>By January 2025, CISA issued guidance recommending that high-value targets switch to end-to-end encrypted communications. The White House acknowledged the campaign and confirmed Chinese state sponsorship. Senator Mark Warner, chairman of the Senate Intelligence Committee, described it as 'the worst telecom hack in our nation's history.'</w:t>
      </w:r>
    </w:p>
    <w:p>
      <w:pPr>
        <w:pStyle w:val="ListBullet"/>
        <w:ind w:left="360"/>
      </w:pPr>
      <w:r>
        <w:rPr>
          <w:b/>
          <w:sz w:val="21"/>
        </w:rPr>
        <w:t xml:space="preserve">Ongoing Remediation (2025): </w:t>
      </w:r>
      <w:r>
        <w:rPr>
          <w:sz w:val="21"/>
        </w:rPr>
        <w:t>As of mid-2025, some providers reported that the attackers had NOT been fully removed from their networks. The persistence of the compromise — months after discovery — underscores the depth of the initial penetration.</w:t>
      </w:r>
    </w:p>
    <w:p>
      <w:pPr>
        <w:pBdr>
          <w:left w:val="single" w:sz="24" w:space="12" w:color="C0392B"/>
        </w:pBdr>
        <w:shd w:fill="EAF4F7" w:val="clear"/>
        <w:spacing w:before="160" w:after="160"/>
      </w:pPr>
      <w:r>
        <w:rPr>
          <w:b/>
          <w:color w:val="0D1B2A"/>
          <w:sz w:val="21"/>
        </w:rPr>
        <w:t>KEY INSIGHT: Salt Typhoon operated undetected inside major U.S. telecom networks for months (estimated 6-12 months or more). The providers' existing security monitoring — including SIEM, IDS/IPS, endpoint detection, and network monitoring tools — failed to detect the campaign. The attack was identified only through external intelligence operations. Behavioral analytics monitoring cross-segment network flows, anomalous CDR access patterns, DNS tunneling volume ramps, and progressive data staging would have generated alerts during Phase 2-3 of the campaign — potentially months earlier than the actual discovery.</w:t>
      </w:r>
    </w:p>
    <w:p>
      <w:pPr>
        <w:pStyle w:val="Heading3"/>
      </w:pPr>
      <w:r>
        <w:rPr>
          <w:color w:val="1B4F72"/>
        </w:rPr>
        <w:t>Detection Gap Analysis</w:t>
      </w:r>
    </w:p>
    <w:p>
      <w:pPr>
        <w:spacing w:after="120"/>
      </w:pPr>
      <w:r>
        <w:rPr>
          <w:b w:val="0"/>
          <w:i w:val="0"/>
          <w:color w:val="000000"/>
          <w:sz w:val="21"/>
        </w:rPr>
        <w:t>Both campaigns share a critical commonality: they were detected externally, not by the organizations under attack. This is not a coincidence — it is a structural consequence of the detection approaches deployed:</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shd w:fill="0D1B2A"/>
          </w:tcPr>
          <w:p>
            <w:pPr>
              <w:jc w:val="center"/>
            </w:pPr>
            <w:r>
              <w:rPr>
                <w:b/>
                <w:color w:val="FFFFFF"/>
                <w:sz w:val="18"/>
              </w:rPr>
              <w:t>Detection Method</w:t>
            </w:r>
          </w:p>
        </w:tc>
        <w:tc>
          <w:tcPr>
            <w:tcW w:type="dxa" w:w="3024"/>
            <w:shd w:fill="0D1B2A"/>
          </w:tcPr>
          <w:p>
            <w:pPr>
              <w:jc w:val="center"/>
            </w:pPr>
            <w:r>
              <w:rPr>
                <w:b/>
                <w:color w:val="FFFFFF"/>
                <w:sz w:val="18"/>
              </w:rPr>
              <w:t>Volt Typhoon Effectiveness</w:t>
            </w:r>
          </w:p>
        </w:tc>
        <w:tc>
          <w:tcPr>
            <w:tcW w:type="dxa" w:w="3024"/>
            <w:shd w:fill="0D1B2A"/>
          </w:tcPr>
          <w:p>
            <w:pPr>
              <w:jc w:val="center"/>
            </w:pPr>
            <w:r>
              <w:rPr>
                <w:b/>
                <w:color w:val="FFFFFF"/>
                <w:sz w:val="18"/>
              </w:rPr>
              <w:t>Salt Typhoon Effectiveness</w:t>
            </w:r>
          </w:p>
        </w:tc>
      </w:tr>
      <w:tr>
        <w:tc>
          <w:tcPr>
            <w:tcW w:type="dxa" w:w="2592"/>
          </w:tcPr>
          <w:p>
            <w:r>
              <w:rPr>
                <w:sz w:val="18"/>
              </w:rPr>
              <w:t>Signature/IOC-based</w:t>
              <w:br/>
              <w:t>(antivirus, IDS rules)</w:t>
            </w:r>
          </w:p>
        </w:tc>
        <w:tc>
          <w:tcPr>
            <w:tcW w:type="dxa" w:w="3024"/>
          </w:tcPr>
          <w:p>
            <w:r>
              <w:rPr>
                <w:sz w:val="18"/>
              </w:rPr>
              <w:t>INEFFECTIVE — no malware, no</w:t>
              <w:br/>
              <w:t>known-bad hashes, no exploit</w:t>
              <w:br/>
              <w:t>code to match</w:t>
            </w:r>
          </w:p>
        </w:tc>
        <w:tc>
          <w:tcPr>
            <w:tcW w:type="dxa" w:w="3024"/>
          </w:tcPr>
          <w:p>
            <w:r>
              <w:rPr>
                <w:sz w:val="18"/>
              </w:rPr>
              <w:t>INEFFECTIVE — used legitimate</w:t>
              <w:br/>
              <w:t>vendor credentials and existing</w:t>
              <w:br/>
              <w:t>data interfaces</w:t>
            </w:r>
          </w:p>
        </w:tc>
      </w:tr>
      <w:tr>
        <w:tc>
          <w:tcPr>
            <w:tcW w:type="dxa" w:w="2592"/>
            <w:shd w:fill="EAF0F6"/>
          </w:tcPr>
          <w:p>
            <w:r>
              <w:rPr>
                <w:sz w:val="18"/>
              </w:rPr>
              <w:t>Network anomaly</w:t>
              <w:br/>
              <w:t>(threshold-based)</w:t>
            </w:r>
          </w:p>
        </w:tc>
        <w:tc>
          <w:tcPr>
            <w:tcW w:type="dxa" w:w="3024"/>
            <w:shd w:fill="EAF0F6"/>
          </w:tcPr>
          <w:p>
            <w:r>
              <w:rPr>
                <w:sz w:val="18"/>
              </w:rPr>
              <w:t>INEFFECTIVE — traffic volumes</w:t>
              <w:br/>
              <w:t>indistinguishable from normal</w:t>
              <w:br/>
              <w:t>admin activity</w:t>
            </w:r>
          </w:p>
        </w:tc>
        <w:tc>
          <w:tcPr>
            <w:tcW w:type="dxa" w:w="3024"/>
            <w:shd w:fill="EAF0F6"/>
          </w:tcPr>
          <w:p>
            <w:r>
              <w:rPr>
                <w:sz w:val="18"/>
              </w:rPr>
              <w:t>PARTIALLY EFFECTIVE in theory</w:t>
              <w:br/>
              <w:t>but DNS tunnel queries blended</w:t>
              <w:br/>
              <w:t>with normal DNS volume</w:t>
            </w:r>
          </w:p>
        </w:tc>
      </w:tr>
      <w:tr>
        <w:tc>
          <w:tcPr>
            <w:tcW w:type="dxa" w:w="2592"/>
          </w:tcPr>
          <w:p>
            <w:r>
              <w:rPr>
                <w:sz w:val="18"/>
              </w:rPr>
              <w:t>SIEM correlation rules</w:t>
            </w:r>
          </w:p>
        </w:tc>
        <w:tc>
          <w:tcPr>
            <w:tcW w:type="dxa" w:w="3024"/>
          </w:tcPr>
          <w:p>
            <w:r>
              <w:rPr>
                <w:sz w:val="18"/>
              </w:rPr>
              <w:t>INEFFECTIVE — all events used</w:t>
              <w:br/>
              <w:t>valid accounts and authorized</w:t>
              <w:br/>
              <w:t>tools; no rule violations</w:t>
            </w:r>
          </w:p>
        </w:tc>
        <w:tc>
          <w:tcPr>
            <w:tcW w:type="dxa" w:w="3024"/>
          </w:tcPr>
          <w:p>
            <w:r>
              <w:rPr>
                <w:sz w:val="18"/>
              </w:rPr>
              <w:t>INEFFECTIVE — CDR access</w:t>
              <w:br/>
              <w:t>appeared as routine billing</w:t>
              <w:br/>
              <w:t>system queries</w:t>
            </w:r>
          </w:p>
        </w:tc>
      </w:tr>
      <w:tr>
        <w:tc>
          <w:tcPr>
            <w:tcW w:type="dxa" w:w="2592"/>
            <w:shd w:fill="EAF0F6"/>
          </w:tcPr>
          <w:p>
            <w:r>
              <w:rPr>
                <w:sz w:val="18"/>
              </w:rPr>
              <w:t>EDR/endpoint detection</w:t>
            </w:r>
          </w:p>
        </w:tc>
        <w:tc>
          <w:tcPr>
            <w:tcW w:type="dxa" w:w="3024"/>
            <w:shd w:fill="EAF0F6"/>
          </w:tcPr>
          <w:p>
            <w:r>
              <w:rPr>
                <w:sz w:val="18"/>
              </w:rPr>
              <w:t>INEFFECTIVE — PowerShell, WMI,</w:t>
              <w:br/>
              <w:t>certutil are allowlisted by</w:t>
              <w:br/>
              <w:t>default in enterprise EDR</w:t>
            </w:r>
          </w:p>
        </w:tc>
        <w:tc>
          <w:tcPr>
            <w:tcW w:type="dxa" w:w="3024"/>
            <w:shd w:fill="EAF0F6"/>
          </w:tcPr>
          <w:p>
            <w:r>
              <w:rPr>
                <w:sz w:val="18"/>
              </w:rPr>
              <w:t>INEFFECTIVE — rootkit operated</w:t>
              <w:br/>
              <w:t>at kernel level on network</w:t>
              <w:br/>
              <w:t>appliances outside EDR scope</w:t>
            </w:r>
          </w:p>
        </w:tc>
      </w:tr>
      <w:tr>
        <w:tc>
          <w:tcPr>
            <w:tcW w:type="dxa" w:w="2592"/>
          </w:tcPr>
          <w:p>
            <w:r>
              <w:rPr>
                <w:sz w:val="18"/>
              </w:rPr>
              <w:t>Behavioral analytics</w:t>
              <w:br/>
              <w:t>(UEBA composite)</w:t>
            </w:r>
          </w:p>
        </w:tc>
        <w:tc>
          <w:tcPr>
            <w:tcW w:type="dxa" w:w="3024"/>
          </w:tcPr>
          <w:p>
            <w:r>
              <w:rPr>
                <w:sz w:val="18"/>
              </w:rPr>
              <w:t>EFFECTIVE — breadth of admin</w:t>
              <w:br/>
              <w:t>tool usage across segments +</w:t>
              <w:br/>
              <w:t>off-hours timing creates</w:t>
              <w:br/>
              <w:t>detectable behavioral drift</w:t>
            </w:r>
          </w:p>
        </w:tc>
        <w:tc>
          <w:tcPr>
            <w:tcW w:type="dxa" w:w="3024"/>
          </w:tcPr>
          <w:p>
            <w:r>
              <w:rPr>
                <w:sz w:val="18"/>
              </w:rPr>
              <w:t>EFFECTIVE — cross-segment</w:t>
              <w:br/>
              <w:t>network flows + CDR access</w:t>
              <w:br/>
              <w:t>outside role + DNS tunnel</w:t>
              <w:br/>
              <w:t>volume ramp creates multi-zone</w:t>
              <w:br/>
              <w:t>drift detectable by composite</w:t>
            </w:r>
          </w:p>
        </w:tc>
      </w:tr>
    </w:tbl>
    <w:p/>
    <w:p>
      <w:pPr>
        <w:spacing w:after="120"/>
      </w:pPr>
      <w:r>
        <w:rPr>
          <w:b w:val="0"/>
          <w:i w:val="0"/>
          <w:color w:val="000000"/>
          <w:sz w:val="21"/>
        </w:rPr>
        <w:t>The V-Intelligence UEBA simulation validates this analysis empirically. In our 250-user synthetic environment, both Volt Typhoon (USR-042, rank #24) and Salt Typhoon (USR-118, rank #1) are detected by composite scoring at the 90th-percentile threshold with 8.5% false positive rate. Traditional algorithms (Isolation Forest, LOF, One-Class SVM, Z-Score) fail to detect these campaigns — the same failure mode observed in the real-world compromises.</w:t>
      </w:r>
    </w:p>
    <w:p>
      <w:r>
        <w:br w:type="page"/>
      </w:r>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LOF</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8</w:t>
            </w:r>
          </w:p>
        </w:tc>
        <w:tc>
          <w:tcPr>
            <w:tcW w:type="dxa" w:w="864"/>
          </w:tcPr>
          <w:p>
            <w:r>
              <w:rPr>
                <w:sz w:val="18"/>
              </w:rPr>
              <w:t>3.3%</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12</w:t>
            </w:r>
          </w:p>
        </w:tc>
        <w:tc>
          <w:tcPr>
            <w:tcW w:type="dxa" w:w="864"/>
            <w:shd w:fill="EAF0F6"/>
          </w:tcPr>
          <w:p>
            <w:r>
              <w:rPr>
                <w:sz w:val="18"/>
              </w:rPr>
              <w:t>4.9%</w:t>
            </w:r>
          </w:p>
        </w:tc>
      </w:tr>
      <w:tr>
        <w:tc>
          <w:tcPr>
            <w:tcW w:type="dxa" w:w="2016"/>
          </w:tcPr>
          <w:p>
            <w:r>
              <w:rPr>
                <w:sz w:val="18"/>
              </w:rPr>
              <w:t>Isolation Forest</w:t>
            </w:r>
          </w:p>
        </w:tc>
        <w:tc>
          <w:tcPr>
            <w:tcW w:type="dxa" w:w="1440"/>
          </w:tcPr>
          <w:p>
            <w:r>
              <w:rPr>
                <w:sz w:val="18"/>
              </w:rPr>
              <w:t>Traditional</w:t>
            </w:r>
          </w:p>
        </w:tc>
        <w:tc>
          <w:tcPr>
            <w:tcW w:type="dxa" w:w="1008"/>
          </w:tcPr>
          <w:p>
            <w:r>
              <w:rPr>
                <w:sz w:val="18"/>
              </w:rPr>
              <w:t>DET</w:t>
            </w:r>
          </w:p>
        </w:tc>
        <w:tc>
          <w:tcPr>
            <w:tcW w:type="dxa" w:w="864"/>
          </w:tcPr>
          <w:p>
            <w:r>
              <w:rPr>
                <w:sz w:val="18"/>
              </w:rPr>
              <w:t>MISSED</w:t>
            </w:r>
          </w:p>
        </w:tc>
        <w:tc>
          <w:tcPr>
            <w:tcW w:type="dxa" w:w="864"/>
          </w:tcPr>
          <w:p>
            <w:r>
              <w:rPr>
                <w:sz w:val="18"/>
              </w:rPr>
              <w:t>DET</w:t>
            </w:r>
          </w:p>
        </w:tc>
        <w:tc>
          <w:tcPr>
            <w:tcW w:type="dxa" w:w="864"/>
          </w:tcPr>
          <w:p>
            <w:r>
              <w:rPr>
                <w:sz w:val="18"/>
              </w:rPr>
              <w:t>DET</w:t>
            </w:r>
          </w:p>
        </w:tc>
        <w:tc>
          <w:tcPr>
            <w:tcW w:type="dxa" w:w="720"/>
          </w:tcPr>
          <w:p>
            <w:r>
              <w:rPr>
                <w:sz w:val="18"/>
              </w:rPr>
              <w:t>3/4</w:t>
            </w:r>
          </w:p>
        </w:tc>
        <w:tc>
          <w:tcPr>
            <w:tcW w:type="dxa" w:w="576"/>
          </w:tcPr>
          <w:p>
            <w:r>
              <w:rPr>
                <w:sz w:val="18"/>
              </w:rPr>
              <w:t>18</w:t>
            </w:r>
          </w:p>
        </w:tc>
        <w:tc>
          <w:tcPr>
            <w:tcW w:type="dxa" w:w="864"/>
          </w:tcPr>
          <w:p>
            <w:r>
              <w:rPr>
                <w:sz w:val="18"/>
              </w:rPr>
              <w:t>7.3%</w:t>
            </w:r>
          </w:p>
        </w:tc>
      </w:tr>
      <w:tr>
        <w:tc>
          <w:tcPr>
            <w:tcW w:type="dxa" w:w="2016"/>
            <w:shd w:fill="EAF0F6"/>
          </w:tcPr>
          <w:p>
            <w:r>
              <w:rPr>
                <w:sz w:val="18"/>
              </w:rPr>
              <w:t>One-Class SVM</w:t>
            </w:r>
          </w:p>
        </w:tc>
        <w:tc>
          <w:tcPr>
            <w:tcW w:type="dxa" w:w="1440"/>
            <w:shd w:fill="EAF0F6"/>
          </w:tcPr>
          <w:p>
            <w:r>
              <w:rPr>
                <w:sz w:val="18"/>
              </w:rPr>
              <w:t>Traditional</w:t>
            </w:r>
          </w:p>
        </w:tc>
        <w:tc>
          <w:tcPr>
            <w:tcW w:type="dxa" w:w="1008"/>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864"/>
            <w:shd w:fill="EAF0F6"/>
          </w:tcPr>
          <w:p>
            <w:r>
              <w:rPr>
                <w:sz w:val="18"/>
              </w:rPr>
              <w:t>DET</w:t>
            </w:r>
          </w:p>
        </w:tc>
        <w:tc>
          <w:tcPr>
            <w:tcW w:type="dxa" w:w="720"/>
            <w:shd w:fill="EAF0F6"/>
          </w:tcPr>
          <w:p>
            <w:r>
              <w:rPr>
                <w:sz w:val="18"/>
              </w:rPr>
              <w:t>4/4</w:t>
            </w:r>
          </w:p>
        </w:tc>
        <w:tc>
          <w:tcPr>
            <w:tcW w:type="dxa" w:w="576"/>
            <w:shd w:fill="EAF0F6"/>
          </w:tcPr>
          <w:p>
            <w:r>
              <w:rPr>
                <w:sz w:val="18"/>
              </w:rPr>
              <w:t>73</w:t>
            </w:r>
          </w:p>
        </w:tc>
        <w:tc>
          <w:tcPr>
            <w:tcW w:type="dxa" w:w="864"/>
            <w:shd w:fill="EAF0F6"/>
          </w:tcPr>
          <w:p>
            <w:r>
              <w:rPr>
                <w:sz w:val="18"/>
              </w:rPr>
              <w:t>29.7%</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w:t>
            </w:r>
          </w:p>
        </w:tc>
        <w:tc>
          <w:tcPr>
            <w:tcW w:type="dxa" w:w="864"/>
          </w:tcPr>
          <w:p>
            <w:r>
              <w:rPr>
                <w:sz w:val="18"/>
              </w:rPr>
              <w:t>DET</w:t>
            </w:r>
          </w:p>
        </w:tc>
        <w:tc>
          <w:tcPr>
            <w:tcW w:type="dxa" w:w="864"/>
          </w:tcPr>
          <w:p>
            <w:r>
              <w:rPr>
                <w:sz w:val="18"/>
              </w:rPr>
              <w:t>DET</w:t>
            </w:r>
          </w:p>
        </w:tc>
        <w:tc>
          <w:tcPr>
            <w:tcW w:type="dxa" w:w="864"/>
          </w:tcPr>
          <w:p>
            <w:r>
              <w:rPr>
                <w:sz w:val="18"/>
              </w:rPr>
              <w:t>DET</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Traditional algorithms CAN detect anomalous users — Z-Score achieves 4/4 at 4.9% FP. However, traditional methods provide no directional intelligence: they say 'anomalous' but cannot distinguish insider threat from LOTL attack from telecom pivot. Composite scoring matches the 4/4 detection rate while adding zone-level explanatory power — it tells the analyst WHICH behavioral dimension changed and TOWARD WHAT threat pattern, directly enabling triage prioritization. The value of V-Intelligence UEBA is not better detection rates but actionable, directional behavioral intelligence.</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Traditional algorithms flag USR-118 as anomalous but cannot distinguish this telecom pivot from other anomaly types without zone-level direction.</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14-month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detection rate alone but what the detection tells the analyst. Traditional methods CAN flag anomalous users — Z-Score achieves 4/4 at 4.9% FP. But they provide no directional intelligence: they say 'anomalous' without distinguishing insider threat from LOTL attack from telecom pivot. Composite scoring matches the detection rate while adding zone-level explanatory power that directly enables triage prioritization.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3 of 4</w:t>
            </w:r>
          </w:p>
        </w:tc>
        <w:tc>
          <w:tcPr>
            <w:tcW w:type="dxa" w:w="1008"/>
          </w:tcPr>
          <w:p>
            <w:r>
              <w:rPr>
                <w:sz w:val="18"/>
              </w:rPr>
              <w:t>3.3%</w:t>
            </w:r>
          </w:p>
        </w:tc>
        <w:tc>
          <w:tcPr>
            <w:tcW w:type="dxa" w:w="4032"/>
          </w:tcPr>
          <w:p>
            <w:r>
              <w:rPr>
                <w:sz w:val="18"/>
              </w:rPr>
              <w:t>Lowest FP, detects 3/4.</w:t>
              <w:br/>
              <w:t>Misses slow APT. No directional</w:t>
              <w:br/>
              <w:t>intelligence for triage.</w:t>
            </w:r>
          </w:p>
        </w:tc>
      </w:tr>
      <w:tr>
        <w:tc>
          <w:tcPr>
            <w:tcW w:type="dxa" w:w="2016"/>
            <w:shd w:fill="EAF0F6"/>
          </w:tcPr>
          <w:p>
            <w:r>
              <w:rPr>
                <w:sz w:val="18"/>
              </w:rPr>
              <w:t>Z-Score (|z|&gt;3)</w:t>
            </w:r>
          </w:p>
        </w:tc>
        <w:tc>
          <w:tcPr>
            <w:tcW w:type="dxa" w:w="1584"/>
            <w:shd w:fill="EAF0F6"/>
          </w:tcPr>
          <w:p>
            <w:r>
              <w:rPr>
                <w:sz w:val="18"/>
              </w:rPr>
              <w:t>4 of 4</w:t>
            </w:r>
          </w:p>
        </w:tc>
        <w:tc>
          <w:tcPr>
            <w:tcW w:type="dxa" w:w="1008"/>
            <w:shd w:fill="EAF0F6"/>
          </w:tcPr>
          <w:p>
            <w:r>
              <w:rPr>
                <w:sz w:val="18"/>
              </w:rPr>
              <w:t>4.9%</w:t>
            </w:r>
          </w:p>
        </w:tc>
        <w:tc>
          <w:tcPr>
            <w:tcW w:type="dxa" w:w="4032"/>
            <w:shd w:fill="EAF0F6"/>
          </w:tcPr>
          <w:p>
            <w:r>
              <w:rPr>
                <w:sz w:val="18"/>
              </w:rPr>
              <w:t>Detects all 4, low FP.</w:t>
              <w:br/>
              <w:t>But flags are undirected —</w:t>
              <w:br/>
              <w:t>no zone-level explanation.</w:t>
            </w:r>
          </w:p>
        </w:tc>
      </w:tr>
      <w:tr>
        <w:tc>
          <w:tcPr>
            <w:tcW w:type="dxa" w:w="2016"/>
          </w:tcPr>
          <w:p>
            <w:r>
              <w:rPr>
                <w:sz w:val="18"/>
              </w:rPr>
              <w:t>Isolation Forest</w:t>
            </w:r>
          </w:p>
        </w:tc>
        <w:tc>
          <w:tcPr>
            <w:tcW w:type="dxa" w:w="1584"/>
          </w:tcPr>
          <w:p>
            <w:r>
              <w:rPr>
                <w:sz w:val="18"/>
              </w:rPr>
              <w:t>3 of 4</w:t>
            </w:r>
          </w:p>
        </w:tc>
        <w:tc>
          <w:tcPr>
            <w:tcW w:type="dxa" w:w="1008"/>
          </w:tcPr>
          <w:p>
            <w:r>
              <w:rPr>
                <w:sz w:val="18"/>
              </w:rPr>
              <w:t>7.3%</w:t>
            </w:r>
          </w:p>
        </w:tc>
        <w:tc>
          <w:tcPr>
            <w:tcW w:type="dxa" w:w="4032"/>
          </w:tcPr>
          <w:p>
            <w:r>
              <w:rPr>
                <w:sz w:val="18"/>
              </w:rPr>
              <w:t>Detects 3/4, misses slow APT.</w:t>
              <w:br/>
              <w:t>Magnitude-only, no behavioral</w:t>
              <w:br/>
              <w:t>direction context.</w:t>
            </w:r>
          </w:p>
        </w:tc>
      </w:tr>
      <w:tr>
        <w:tc>
          <w:tcPr>
            <w:tcW w:type="dxa" w:w="2016"/>
            <w:shd w:fill="EAF0F6"/>
          </w:tcPr>
          <w:p>
            <w:r>
              <w:rPr>
                <w:sz w:val="18"/>
              </w:rPr>
              <w:t>One-Class SVM</w:t>
            </w:r>
          </w:p>
        </w:tc>
        <w:tc>
          <w:tcPr>
            <w:tcW w:type="dxa" w:w="1584"/>
            <w:shd w:fill="EAF0F6"/>
          </w:tcPr>
          <w:p>
            <w:r>
              <w:rPr>
                <w:sz w:val="18"/>
              </w:rPr>
              <w:t>4 of 4</w:t>
            </w:r>
          </w:p>
        </w:tc>
        <w:tc>
          <w:tcPr>
            <w:tcW w:type="dxa" w:w="1008"/>
            <w:shd w:fill="EAF0F6"/>
          </w:tcPr>
          <w:p>
            <w:r>
              <w:rPr>
                <w:sz w:val="18"/>
              </w:rPr>
              <w:t>29.7%</w:t>
            </w:r>
          </w:p>
        </w:tc>
        <w:tc>
          <w:tcPr>
            <w:tcW w:type="dxa" w:w="4032"/>
            <w:shd w:fill="EAF0F6"/>
          </w:tcPr>
          <w:p>
            <w:r>
              <w:rPr>
                <w:sz w:val="18"/>
              </w:rPr>
              <w:t>Detects all 4 but excessive FP.</w:t>
              <w:br/>
              <w:t>73 false positives overwhelm</w:t>
              <w:br/>
              <w:t>SOC investigation capacity.</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all 4 with zone-level</w:t>
              <w:br/>
              <w:t>explanation. 21 FP — each with</w:t>
              <w:br/>
              <w:t>behavioral phase attribution.</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(29.9) + Breadth (18 features &gt;1.5σ)</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(8.4) + Breadth (19 features &gt;1.5σ)</w:t>
              <w:br/>
              <w:t>14-month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417-day slow APT with command-and-control beaconing via DNS. The malware contacts an external C2 server approximately every 12 hours (2-3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qualitative, not quantitative. Feature-space CUSUM shows all four attackers remaining within the normal population band — behaviorally indistinguishable. Semantic CUSUM separates all 4 with clear breakout above normal ranges.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Detection without direction is insufficient.</w:t>
      </w:r>
    </w:p>
    <w:p>
      <w:pPr>
        <w:spacing w:after="120"/>
      </w:pPr>
      <w:r>
        <w:rPr>
          <w:b w:val="0"/>
          <w:i w:val="0"/>
          <w:color w:val="000000"/>
          <w:sz w:val="21"/>
        </w:rPr>
        <w:t>Traditional anomaly detection (Z-Score, OCSVM) can detect all 4 attackers, and LOF/IForest catch 3 of 4. But these methods flag users as 'anomalous' without specifying which behavioral zone changed or toward what threat pattern. The insider's shift from public to restricted file access looks identical to a power user's legitimate role expansion — both are magnitude anomalies without directional context.</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