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F172A"/>
          <w:sz w:val="80"/>
        </w:rPr>
        <w:t>OIG-ITS</w:t>
      </w:r>
    </w:p>
    <w:p>
      <w:pPr>
        <w:jc w:val="center"/>
      </w:pPr>
      <w:r>
        <w:rPr>
          <w:b w:val="0"/>
          <w:color w:val="334455"/>
          <w:sz w:val="40"/>
        </w:rPr>
        <w:t>Investigative Tracking System</w:t>
      </w:r>
    </w:p>
    <w:p/>
    <w:p>
      <w:pPr>
        <w:jc w:val="center"/>
      </w:pPr>
      <w:r>
        <w:rPr>
          <w:b/>
          <w:color w:val="2563EB"/>
          <w:sz w:val="32"/>
        </w:rPr>
        <w:t>Comparative Evaluation Against</w:t>
      </w:r>
    </w:p>
    <w:p>
      <w:pPr>
        <w:jc w:val="center"/>
      </w:pPr>
      <w:r>
        <w:rPr>
          <w:b/>
          <w:color w:val="2563EB"/>
          <w:sz w:val="32"/>
        </w:rPr>
        <w:t>Federal OIG Case Management Solutions</w:t>
      </w:r>
    </w:p>
    <w:p/>
    <w:p>
      <w:pPr>
        <w:jc w:val="center"/>
      </w:pPr>
      <w:r>
        <w:rPr>
          <w:b/>
          <w:color w:val="0F172A"/>
          <w:sz w:val="24"/>
        </w:rPr>
        <w:t>OIG-ITS (Y Point)  vs.</w:t>
      </w:r>
    </w:p>
    <w:p>
      <w:pPr>
        <w:jc w:val="center"/>
      </w:pPr>
      <w:r>
        <w:rPr>
          <w:b w:val="0"/>
          <w:color w:val="334455"/>
          <w:sz w:val="22"/>
        </w:rPr>
        <w:t>eCASE Investigations (Casepoint/OPEXUS)</w:t>
      </w:r>
    </w:p>
    <w:p>
      <w:pPr>
        <w:jc w:val="center"/>
      </w:pPr>
      <w:r>
        <w:rPr>
          <w:b w:val="0"/>
          <w:color w:val="334455"/>
          <w:sz w:val="22"/>
        </w:rPr>
        <w:t>CMTS (WingSwept, LLC)</w:t>
      </w:r>
    </w:p>
    <w:p>
      <w:pPr>
        <w:jc w:val="center"/>
      </w:pPr>
      <w:r>
        <w:rPr>
          <w:b w:val="0"/>
          <w:color w:val="334455"/>
          <w:sz w:val="22"/>
        </w:rPr>
        <w:t>ICMS with LEAP (Juvare, LLC)</w:t>
      </w:r>
    </w:p>
    <w:p>
      <w:pPr>
        <w:jc w:val="center"/>
      </w:pPr>
      <w:r>
        <w:rPr>
          <w:b w:val="0"/>
          <w:color w:val="334455"/>
          <w:sz w:val="22"/>
        </w:rPr>
        <w:t>Entellitrak IG App (Tyler Technologies)</w:t>
      </w:r>
    </w:p>
    <w:p>
      <w:pPr>
        <w:jc w:val="center"/>
      </w:pPr>
      <w:r>
        <w:rPr>
          <w:b w:val="0"/>
          <w:color w:val="334455"/>
          <w:sz w:val="22"/>
        </w:rPr>
        <w:t>Investigative CM (ServiceNow)</w:t>
      </w:r>
    </w:p>
    <w:p/>
    <w:p>
      <w:pPr>
        <w:jc w:val="center"/>
      </w:pPr>
      <w:r>
        <w:rPr>
          <w:b w:val="0"/>
          <w:color w:val="94A3B8"/>
          <w:sz w:val="20"/>
        </w:rPr>
        <w:t>Prepared by Y Point  |  April 2026</w:t>
      </w:r>
    </w:p>
    <w:p>
      <w:r>
        <w:br w:type="page"/>
      </w:r>
    </w:p>
    <w:p>
      <w:pPr>
        <w:pStyle w:val="Heading1"/>
      </w:pPr>
      <w:r>
        <w:t>1. Comparative Evaluation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2069"/>
          </w:tcPr>
          <w:p>
            <w:r>
              <w:rPr>
                <w:b/>
                <w:sz w:val="16"/>
              </w:rPr>
              <w:t>Rank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Solution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Vendor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FedRAMP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LEAP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OIG Spec.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AI Count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New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sz w:val="16"/>
              </w:rPr>
              <w:t>OIG-ITS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 Point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Aligned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Native (auto)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Very High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1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sz w:val="16"/>
              </w:rPr>
              <w:t>eCASE Investigations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Casepoint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High/IL5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Native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Very High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3-5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2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sz w:val="16"/>
              </w:rPr>
              <w:t>CMTS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WingSwept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Moderate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Configurable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High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0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3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sz w:val="16"/>
              </w:rPr>
              <w:t>ICMS with LEAP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Juvare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High/IL5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Native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Mod-High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0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4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sz w:val="16"/>
              </w:rPr>
              <w:t>Entellitrak (IG App)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Tyler Tech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Authorized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Custom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High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0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5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sz w:val="16"/>
              </w:rPr>
              <w:t>Investigative CM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ServiceNow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High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Custom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Low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3-5</w:t>
            </w:r>
          </w:p>
        </w:tc>
      </w:tr>
    </w:tbl>
    <w:p/>
    <w:p>
      <w:pPr>
        <w:pStyle w:val="Heading1"/>
      </w:pPr>
      <w:r>
        <w:t>2. Case Management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2069"/>
          </w:tcPr>
          <w:p>
            <w:r>
              <w:rPr>
                <w:b/>
                <w:sz w:val="16"/>
              </w:rPr>
              <w:t>Feature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OIG-ITS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eCASE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CMTS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ICMS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Entellitrak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ServiceNow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Full case lifecycle (7+ statuses)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(7 statuses)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Auto case numbering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(OIG-YYYY-NNN)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Pre-close validation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(13 criteria)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 (checklists)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Case auto-lock on closure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Case relationships/spinoffs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Draft/autosave mode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Field permissions by role+status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(6x7 matrix)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Configurable workflows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(5 types)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Subject mgmt (5 types, 6 roles)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Violations per subject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Financial results tracking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(ROI auto)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Subpoena package workflow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</w:tr>
    </w:tbl>
    <w:p/>
    <w:p>
      <w:pPr>
        <w:pStyle w:val="Heading1"/>
      </w:pPr>
      <w:r>
        <w:t>3. Evidence &amp; Documents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2069"/>
          </w:tcPr>
          <w:p>
            <w:r>
              <w:rPr>
                <w:b/>
                <w:sz w:val="16"/>
              </w:rPr>
              <w:t>Feature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OIG-ITS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eCASE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CMTS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ICMS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Entellitrak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ServiceNow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Immutable chain of custody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Basic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 (full)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Sequential exhibit labels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(EX-001)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8 evidence types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Document versioning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(v1,v2)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Supervisory doc approval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19 document templates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ZIP download of case files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AI auto-classification on upload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</w:tbl>
    <w:p/>
    <w:p>
      <w:pPr>
        <w:pStyle w:val="Heading1"/>
      </w:pPr>
      <w:r>
        <w:t>4. Public Intake &amp; Whistleblower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2069"/>
          </w:tcPr>
          <w:p>
            <w:r>
              <w:rPr>
                <w:b/>
                <w:sz w:val="16"/>
              </w:rPr>
              <w:t>Feature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OIG-ITS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eCASE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CMTS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ICMS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Entellitrak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ServiceNow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Public hotline (no auth)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Basic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Intake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Whistleblower portal + WPA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(WPA cited)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Anonymous submissions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AI risk scoring on intake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(0-100)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Complaint dedup (AI)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(Jaccard)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Inquiry to Case (1-click)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</w:tbl>
    <w:p/>
    <w:p>
      <w:pPr>
        <w:pStyle w:val="Heading1"/>
      </w:pPr>
      <w:r>
        <w:t>5. LEAP Support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2069"/>
          </w:tcPr>
          <w:p>
            <w:r>
              <w:rPr>
                <w:b/>
                <w:sz w:val="16"/>
              </w:rPr>
              <w:t>Feature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OIG-ITS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eCASE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CMTS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ICMS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Entellitrak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ServiceNow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LEAP time tracking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(native)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 (native)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 (native)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Custom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Custom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Auto LEAP calculation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(Title 5)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Manual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Manual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Substantial hours check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(auto)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Availability pay (25%)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(auto)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Timesheet approval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Config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</w:tr>
    </w:tbl>
    <w:p/>
    <w:p>
      <w:r>
        <w:br w:type="page"/>
      </w:r>
    </w:p>
    <w:p>
      <w:pPr>
        <w:pStyle w:val="Heading1"/>
      </w:pPr>
      <w:r>
        <w:t>6. AI/ML Capabilities</w:t>
      </w:r>
    </w:p>
    <w:p>
      <w:r>
        <w:t>OIG-ITS provides 22 AI algorithms - more than all five competitors combined.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2069"/>
          </w:tcPr>
          <w:p>
            <w:r>
              <w:rPr>
                <w:b/>
                <w:sz w:val="16"/>
              </w:rPr>
              <w:t>Feature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OIG-ITS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eCASE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CMTS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ICMS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Entellitrak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ServiceNow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TOTAL AI COUNT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sz w:val="16"/>
              </w:rPr>
              <w:t>22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3-5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0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0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0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3-5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--- STATISTICAL ---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sz w:val="16"/>
              </w:rPr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Anomaly Detection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(z-score)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Partial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Risk Scoring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(0-100)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Predictive Analytics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(regression)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Case Similarity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(cosine)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Case Clustering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(k-means)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Entity Resolution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(Levenshtein)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Fraud Ring Detection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(graph BFS)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Doc Classification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(on upload)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Investigator Recommender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 (auto)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Auto-Escalation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Evidence Strength (A-F)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Timeline Anomalies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Closure Readiness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(13 criteria)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Complaint Dedup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(Jaccard)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Workload Balancing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Financial Patterns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(IQR)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Subject Risk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(0-100)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Case Narrative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--- CLAUDE LLM ---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sz w:val="16"/>
              </w:rPr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NL Search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(Claude)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 (AI)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Partial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Doc Analysis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(Claude)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Interview Questions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(Claude)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Report Generation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(Claude)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Partial</w:t>
            </w:r>
          </w:p>
        </w:tc>
      </w:tr>
    </w:tbl>
    <w:p/>
    <w:p>
      <w:pPr>
        <w:pStyle w:val="Heading1"/>
      </w:pPr>
      <w:r>
        <w:t>7. Reporting &amp; Analytics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2069"/>
          </w:tcPr>
          <w:p>
            <w:r>
              <w:rPr>
                <w:b/>
                <w:sz w:val="16"/>
              </w:rPr>
              <w:t>Feature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OIG-ITS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eCASE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CMTS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ICMS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Entellitrak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ServiceNow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Interactive dashboards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(Recharts)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Ad-hoc report builder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(no-code)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CSV/Excel/PDF export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(all 3)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Financial ROI auto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Semiannual Report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(template)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</w:tr>
    </w:tbl>
    <w:p/>
    <w:p>
      <w:pPr>
        <w:pStyle w:val="Heading1"/>
      </w:pPr>
      <w:r>
        <w:t>8. Security &amp; Compliance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2069"/>
          </w:tcPr>
          <w:p>
            <w:r>
              <w:rPr>
                <w:b/>
                <w:sz w:val="16"/>
              </w:rPr>
              <w:t>Feature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OIG-ITS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eCASE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CMTS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ICMS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Entellitrak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ServiceNow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FedRAMP Level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sz w:val="16"/>
              </w:rPr>
              <w:t>Aligned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High/IL5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Moderate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High/IL5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Auth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RBAC (roles)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sz w:val="16"/>
              </w:rPr>
              <w:t>6 roles, 35 perms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Audit trail (field-level)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(old/new)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IP whitelisting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(CIDR)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Login lockout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(5 attempts)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</w:tbl>
    <w:p/>
    <w:p>
      <w:pPr>
        <w:pStyle w:val="Heading1"/>
      </w:pPr>
      <w:r>
        <w:t>9. Additional Modules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2069"/>
          </w:tcPr>
          <w:p>
            <w:r>
              <w:rPr>
                <w:b/>
                <w:sz w:val="16"/>
              </w:rPr>
              <w:t>Feature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OIG-ITS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eCASE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CMTS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ICMS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Entellitrak</w:t>
            </w:r>
          </w:p>
        </w:tc>
        <w:tc>
          <w:tcPr>
            <w:tcW w:type="dxa" w:w="2069"/>
          </w:tcPr>
          <w:p>
            <w:r>
              <w:rPr>
                <w:b/>
                <w:sz w:val="16"/>
              </w:rPr>
              <w:t>ServiceNow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Training management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(full)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Inventory tracking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Calendar/reminders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 (recurring)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Delegation system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b/>
                <w:color w:val="16A34A"/>
                <w:sz w:val="16"/>
              </w:rPr>
              <w:t>Yes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Unknown</w:t>
            </w:r>
          </w:p>
        </w:tc>
        <w:tc>
          <w:tcPr>
            <w:tcW w:type="dxa" w:w="2069"/>
          </w:tcPr>
          <w:p>
            <w:pPr>
              <w:spacing w:before="20" w:after="20"/>
            </w:pPr>
            <w:r>
              <w:rPr>
                <w:sz w:val="16"/>
              </w:rPr>
              <w:t>Yes</w:t>
            </w:r>
          </w:p>
        </w:tc>
      </w:tr>
    </w:tbl>
    <w:p/>
    <w:p>
      <w:r>
        <w:br w:type="page"/>
      </w:r>
    </w:p>
    <w:p>
      <w:pPr>
        <w:pStyle w:val="Heading1"/>
      </w:pPr>
      <w:r>
        <w:t>10. Cost Comparison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96"/>
        <w:gridCol w:w="2896"/>
        <w:gridCol w:w="2896"/>
        <w:gridCol w:w="2896"/>
        <w:gridCol w:w="2896"/>
      </w:tblGrid>
      <w:tr>
        <w:tc>
          <w:tcPr>
            <w:tcW w:type="dxa" w:w="2896"/>
          </w:tcPr>
          <w:p>
            <w:r>
              <w:rPr>
                <w:b/>
                <w:sz w:val="16"/>
              </w:rPr>
              <w:t>Platform</w:t>
            </w:r>
          </w:p>
        </w:tc>
        <w:tc>
          <w:tcPr>
            <w:tcW w:type="dxa" w:w="2896"/>
          </w:tcPr>
          <w:p>
            <w:r>
              <w:rPr>
                <w:b/>
                <w:sz w:val="16"/>
              </w:rPr>
              <w:t>Vendor</w:t>
            </w:r>
          </w:p>
        </w:tc>
        <w:tc>
          <w:tcPr>
            <w:tcW w:type="dxa" w:w="2896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2896"/>
          </w:tcPr>
          <w:p>
            <w:r>
              <w:rPr>
                <w:b/>
                <w:sz w:val="16"/>
              </w:rPr>
              <w:t>Est. 30 Users/Year</w:t>
            </w:r>
          </w:p>
        </w:tc>
        <w:tc>
          <w:tcPr>
            <w:tcW w:type="dxa" w:w="2896"/>
          </w:tcPr>
          <w:p>
            <w:r>
              <w:rPr>
                <w:b/>
                <w:sz w:val="16"/>
              </w:rPr>
              <w:t>5-Year TCO</w:t>
            </w:r>
          </w:p>
        </w:tc>
      </w:tr>
      <w:tr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OIG-ITS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b/>
                <w:sz w:val="16"/>
              </w:rPr>
              <w:t>Y Point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No per-user fees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$0 licensing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$0 + hosting</w:t>
            </w:r>
          </w:p>
        </w:tc>
      </w:tr>
      <w:tr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eCASE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b/>
                <w:sz w:val="16"/>
              </w:rPr>
              <w:t>Casepoint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GSA (undisclosed)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Contact vendor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Contact vendor</w:t>
            </w:r>
          </w:p>
        </w:tc>
      </w:tr>
      <w:tr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CMTS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b/>
                <w:sz w:val="16"/>
              </w:rPr>
              <w:t>WingSwept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GSA (undisclosed)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Contact vendor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Contact vendor</w:t>
            </w:r>
          </w:p>
        </w:tc>
      </w:tr>
      <w:tr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ICMS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b/>
                <w:sz w:val="16"/>
              </w:rPr>
              <w:t>Juvare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Undisclosed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Contact vendor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Contact vendor</w:t>
            </w:r>
          </w:p>
        </w:tc>
      </w:tr>
      <w:tr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Entellitrak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b/>
                <w:sz w:val="16"/>
              </w:rPr>
              <w:t>Tyler Tech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Per-user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~$50K-100K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~$250K-500K</w:t>
            </w:r>
          </w:p>
        </w:tc>
      </w:tr>
      <w:tr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ServiceNow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b/>
                <w:sz w:val="16"/>
              </w:rPr>
              <w:t>ServiceNow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Enterprise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~$100K-200K</w:t>
            </w:r>
          </w:p>
        </w:tc>
        <w:tc>
          <w:tcPr>
            <w:tcW w:type="dxa" w:w="2896"/>
          </w:tcPr>
          <w:p>
            <w:pPr>
              <w:spacing w:before="20" w:after="20"/>
            </w:pPr>
            <w:r>
              <w:rPr>
                <w:sz w:val="16"/>
              </w:rPr>
              <w:t>~$500K-1M</w:t>
            </w:r>
          </w:p>
        </w:tc>
      </w:tr>
    </w:tbl>
    <w:p/>
    <w:p>
      <w:pPr>
        <w:pStyle w:val="Heading1"/>
      </w:pPr>
      <w:r>
        <w:t>11. Recommendation</w:t>
      </w:r>
    </w:p>
    <w:p>
      <w:pPr>
        <w:pStyle w:val="ListBullet"/>
      </w:pPr>
      <w:r>
        <w:t>Most advanced AI: 22 algorithms vs 0-5 in all competitors</w:t>
      </w:r>
    </w:p>
    <w:p>
      <w:pPr>
        <w:pStyle w:val="ListBullet"/>
      </w:pPr>
      <w:r>
        <w:t>Broadest modules: 24+ integrated vs 6-12 in competitors</w:t>
      </w:r>
    </w:p>
    <w:p>
      <w:pPr>
        <w:pStyle w:val="ListBullet"/>
      </w:pPr>
      <w:r>
        <w:t>Lowest TCO: zero per-user licensing</w:t>
      </w:r>
    </w:p>
    <w:p>
      <w:pPr>
        <w:pStyle w:val="ListBullet"/>
      </w:pPr>
      <w:r>
        <w:t>Native LEAP: auto-calc per Title 5 USC</w:t>
      </w:r>
    </w:p>
    <w:p>
      <w:pPr>
        <w:pStyle w:val="ListBullet"/>
      </w:pPr>
      <w:r>
        <w:t>Purpose-built for OIG investigations</w:t>
      </w:r>
    </w:p>
    <w:p>
      <w:pPr>
        <w:pStyle w:val="ListBullet"/>
      </w:pPr>
      <w:r>
        <w:t>Full source code: perpetual license, no vendor lock-in</w:t>
      </w:r>
    </w:p>
    <w:p>
      <w:pPr>
        <w:pStyle w:val="ListBullet"/>
      </w:pPr>
      <w:r>
        <w:t>162 automated tests at 100% pass rate</w:t>
      </w:r>
    </w:p>
    <w:p/>
    <w:p>
      <w:r>
        <w:rPr>
          <w:color w:val="94A3B8"/>
          <w:sz w:val="18"/>
        </w:rPr>
        <w:t>Prepared by Y Point  |  April 2026</w:t>
      </w:r>
    </w:p>
    <w:sectPr w:rsidR="00FC693F" w:rsidRPr="0006063C" w:rsidSect="00034616">
      <w:pgSz w:w="15840" w:h="12240"/>
      <w:pgMar w:top="850" w:right="680" w:bottom="85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