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System Implementation Plan</w:t>
      </w:r>
    </w:p>
    <w:p>
      <w:pPr>
        <w:pStyle w:val="Heading1"/>
      </w:pPr>
      <w:r>
        <w:t>Office of Inspector General — Investigation Tracking System (OIG-ITS)</w:t>
      </w:r>
    </w:p>
    <w:tbl>
      <w:tblPr>
        <w:tblStyle w:val="LightGrid-Accent1"/>
        <w:tblW w:type="auto" w:w="0"/>
        <w:jc w:val="left"/>
        <w:tblLook w:firstColumn="1" w:firstRow="1" w:lastColumn="0" w:lastRow="0" w:noHBand="0" w:noVBand="1" w:val="04A0"/>
      </w:tblPr>
      <w:tblGrid>
        <w:gridCol w:w="4680"/>
        <w:gridCol w:w="4680"/>
      </w:tblGrid>
      <w:tr>
        <w:tc>
          <w:tcPr>
            <w:tcW w:type="dxa" w:w="4680"/>
          </w:tcPr>
          <w:p>
            <w:pPr>
              <w:spacing w:before="20" w:after="20"/>
            </w:pPr>
            <w:r>
              <w:rPr>
                <w:sz w:val="18"/>
              </w:rPr>
              <w:t>Field</w:t>
            </w:r>
          </w:p>
        </w:tc>
        <w:tc>
          <w:tcPr>
            <w:tcW w:type="dxa" w:w="4680"/>
          </w:tcPr>
          <w:p>
            <w:pPr>
              <w:spacing w:before="20" w:after="20"/>
            </w:pPr>
            <w:r>
              <w:rPr>
                <w:sz w:val="18"/>
              </w:rPr>
              <w:t>Value</w:t>
            </w:r>
          </w:p>
        </w:tc>
      </w:tr>
      <w:tr>
        <w:tc>
          <w:tcPr>
            <w:tcW w:type="dxa" w:w="4680"/>
          </w:tcPr>
          <w:p>
            <w:pPr>
              <w:spacing w:before="20" w:after="20"/>
            </w:pPr>
            <w:r>
              <w:rPr>
                <w:sz w:val="18"/>
              </w:rPr>
              <w:t>Document ID</w:t>
            </w:r>
          </w:p>
        </w:tc>
        <w:tc>
          <w:tcPr>
            <w:tcW w:type="dxa" w:w="4680"/>
          </w:tcPr>
          <w:p>
            <w:pPr>
              <w:spacing w:before="20" w:after="20"/>
            </w:pPr>
            <w:r>
              <w:rPr>
                <w:sz w:val="18"/>
              </w:rPr>
              <w:t>OIG-ITS-SIP-001</w:t>
            </w:r>
          </w:p>
        </w:tc>
      </w:tr>
      <w:tr>
        <w:tc>
          <w:tcPr>
            <w:tcW w:type="dxa" w:w="4680"/>
          </w:tcPr>
          <w:p>
            <w:pPr>
              <w:spacing w:before="20" w:after="20"/>
            </w:pPr>
            <w:r>
              <w:rPr>
                <w:sz w:val="18"/>
              </w:rPr>
              <w:t>Version</w:t>
            </w:r>
          </w:p>
        </w:tc>
        <w:tc>
          <w:tcPr>
            <w:tcW w:type="dxa" w:w="4680"/>
          </w:tcPr>
          <w:p>
            <w:pPr>
              <w:spacing w:before="20" w:after="20"/>
            </w:pPr>
            <w:r>
              <w:rPr>
                <w:sz w:val="18"/>
              </w:rPr>
              <w:t>1.0</w:t>
            </w:r>
          </w:p>
        </w:tc>
      </w:tr>
      <w:tr>
        <w:tc>
          <w:tcPr>
            <w:tcW w:type="dxa" w:w="4680"/>
          </w:tcPr>
          <w:p>
            <w:pPr>
              <w:spacing w:before="20" w:after="20"/>
            </w:pPr>
            <w:r>
              <w:rPr>
                <w:sz w:val="18"/>
              </w:rPr>
              <w:t>Date</w:t>
            </w:r>
          </w:p>
        </w:tc>
        <w:tc>
          <w:tcPr>
            <w:tcW w:type="dxa" w:w="4680"/>
          </w:tcPr>
          <w:p>
            <w:pPr>
              <w:spacing w:before="20" w:after="20"/>
            </w:pPr>
            <w:r>
              <w:rPr>
                <w:sz w:val="18"/>
              </w:rPr>
              <w:t>March 31, 2026</w:t>
            </w:r>
          </w:p>
        </w:tc>
      </w:tr>
      <w:tr>
        <w:tc>
          <w:tcPr>
            <w:tcW w:type="dxa" w:w="4680"/>
          </w:tcPr>
          <w:p>
            <w:pPr>
              <w:spacing w:before="20" w:after="20"/>
            </w:pPr>
            <w:r>
              <w:rPr>
                <w:sz w:val="18"/>
              </w:rPr>
              <w:t>Author</w:t>
            </w:r>
          </w:p>
        </w:tc>
        <w:tc>
          <w:tcPr>
            <w:tcW w:type="dxa" w:w="4680"/>
          </w:tcPr>
          <w:p>
            <w:pPr>
              <w:spacing w:before="20" w:after="20"/>
            </w:pPr>
            <w:r>
              <w:rPr>
                <w:sz w:val="18"/>
              </w:rPr>
              <w:t>OIG Information Technology Division</w:t>
            </w:r>
          </w:p>
        </w:tc>
      </w:tr>
      <w:tr>
        <w:tc>
          <w:tcPr>
            <w:tcW w:type="dxa" w:w="4680"/>
          </w:tcPr>
          <w:p>
            <w:pPr>
              <w:spacing w:before="20" w:after="20"/>
            </w:pPr>
            <w:r>
              <w:rPr>
                <w:sz w:val="18"/>
              </w:rPr>
              <w:t>Classification</w:t>
            </w:r>
          </w:p>
        </w:tc>
        <w:tc>
          <w:tcPr>
            <w:tcW w:type="dxa" w:w="4680"/>
          </w:tcPr>
          <w:p>
            <w:pPr>
              <w:spacing w:before="20" w:after="20"/>
            </w:pPr>
            <w:r>
              <w:rPr>
                <w:sz w:val="18"/>
              </w:rPr>
              <w:t>For Official Use Only (FOUO)</w:t>
            </w:r>
          </w:p>
        </w:tc>
      </w:tr>
      <w:tr>
        <w:tc>
          <w:tcPr>
            <w:tcW w:type="dxa" w:w="4680"/>
          </w:tcPr>
          <w:p>
            <w:pPr>
              <w:spacing w:before="20" w:after="20"/>
            </w:pPr>
            <w:r>
              <w:rPr>
                <w:sz w:val="18"/>
              </w:rPr>
              <w:t>SOW Reference</w:t>
            </w:r>
          </w:p>
        </w:tc>
        <w:tc>
          <w:tcPr>
            <w:tcW w:type="dxa" w:w="4680"/>
          </w:tcPr>
          <w:p>
            <w:pPr>
              <w:spacing w:before="20" w:after="20"/>
            </w:pPr>
            <w:r>
              <w:rPr>
                <w:sz w:val="18"/>
              </w:rPr>
              <w:t>Deliverable DM4 — System Implementation Plan</w:t>
            </w:r>
          </w:p>
        </w:tc>
      </w:tr>
      <w:tr>
        <w:tc>
          <w:tcPr>
            <w:tcW w:type="dxa" w:w="4680"/>
          </w:tcPr>
          <w:p>
            <w:pPr>
              <w:spacing w:before="20" w:after="20"/>
            </w:pPr>
            <w:r>
              <w:rPr>
                <w:sz w:val="18"/>
              </w:rPr>
              <w:t>Status</w:t>
            </w:r>
          </w:p>
        </w:tc>
        <w:tc>
          <w:tcPr>
            <w:tcW w:type="dxa" w:w="4680"/>
          </w:tcPr>
          <w:p>
            <w:pPr>
              <w:spacing w:before="20" w:after="20"/>
            </w:pPr>
            <w:r>
              <w:rPr>
                <w:sz w:val="18"/>
              </w:rPr>
              <w:t>Draft</w:t>
            </w:r>
          </w:p>
        </w:tc>
      </w:tr>
    </w:tbl>
    <w:p/>
    <w:p>
      <w:pPr>
        <w:pStyle w:val="Heading2"/>
      </w:pPr>
      <w:r>
        <w:t>Revision History</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pPr>
              <w:spacing w:before="20" w:after="20"/>
            </w:pPr>
            <w:r>
              <w:rPr>
                <w:sz w:val="18"/>
              </w:rPr>
              <w:t>Version</w:t>
            </w:r>
          </w:p>
        </w:tc>
        <w:tc>
          <w:tcPr>
            <w:tcW w:type="dxa" w:w="2340"/>
          </w:tcPr>
          <w:p>
            <w:pPr>
              <w:spacing w:before="20" w:after="20"/>
            </w:pPr>
            <w:r>
              <w:rPr>
                <w:sz w:val="18"/>
              </w:rPr>
              <w:t>Date</w:t>
            </w:r>
          </w:p>
        </w:tc>
        <w:tc>
          <w:tcPr>
            <w:tcW w:type="dxa" w:w="2340"/>
          </w:tcPr>
          <w:p>
            <w:pPr>
              <w:spacing w:before="20" w:after="20"/>
            </w:pPr>
            <w:r>
              <w:rPr>
                <w:sz w:val="18"/>
              </w:rPr>
              <w:t>Author</w:t>
            </w:r>
          </w:p>
        </w:tc>
        <w:tc>
          <w:tcPr>
            <w:tcW w:type="dxa" w:w="2340"/>
          </w:tcPr>
          <w:p>
            <w:pPr>
              <w:spacing w:before="20" w:after="20"/>
            </w:pPr>
            <w:r>
              <w:rPr>
                <w:sz w:val="18"/>
              </w:rPr>
              <w:t>Description</w:t>
            </w:r>
          </w:p>
        </w:tc>
      </w:tr>
      <w:tr>
        <w:tc>
          <w:tcPr>
            <w:tcW w:type="dxa" w:w="2340"/>
          </w:tcPr>
          <w:p>
            <w:pPr>
              <w:spacing w:before="20" w:after="20"/>
            </w:pPr>
            <w:r>
              <w:rPr>
                <w:sz w:val="18"/>
              </w:rPr>
              <w:t>0.1</w:t>
            </w:r>
          </w:p>
        </w:tc>
        <w:tc>
          <w:tcPr>
            <w:tcW w:type="dxa" w:w="2340"/>
          </w:tcPr>
          <w:p>
            <w:pPr>
              <w:spacing w:before="20" w:after="20"/>
            </w:pPr>
            <w:r>
              <w:rPr>
                <w:sz w:val="18"/>
              </w:rPr>
              <w:t>2026-03-15</w:t>
            </w:r>
          </w:p>
        </w:tc>
        <w:tc>
          <w:tcPr>
            <w:tcW w:type="dxa" w:w="2340"/>
          </w:tcPr>
          <w:p>
            <w:pPr>
              <w:spacing w:before="20" w:after="20"/>
            </w:pPr>
            <w:r>
              <w:rPr>
                <w:sz w:val="18"/>
              </w:rPr>
              <w:t>OIG IT Division</w:t>
            </w:r>
          </w:p>
        </w:tc>
        <w:tc>
          <w:tcPr>
            <w:tcW w:type="dxa" w:w="2340"/>
          </w:tcPr>
          <w:p>
            <w:pPr>
              <w:spacing w:before="20" w:after="20"/>
            </w:pPr>
            <w:r>
              <w:rPr>
                <w:sz w:val="18"/>
              </w:rPr>
              <w:t>Initial draft</w:t>
            </w:r>
          </w:p>
        </w:tc>
      </w:tr>
      <w:tr>
        <w:tc>
          <w:tcPr>
            <w:tcW w:type="dxa" w:w="2340"/>
          </w:tcPr>
          <w:p>
            <w:pPr>
              <w:spacing w:before="20" w:after="20"/>
            </w:pPr>
            <w:r>
              <w:rPr>
                <w:sz w:val="18"/>
              </w:rPr>
              <w:t>0.5</w:t>
            </w:r>
          </w:p>
        </w:tc>
        <w:tc>
          <w:tcPr>
            <w:tcW w:type="dxa" w:w="2340"/>
          </w:tcPr>
          <w:p>
            <w:pPr>
              <w:spacing w:before="20" w:after="20"/>
            </w:pPr>
            <w:r>
              <w:rPr>
                <w:sz w:val="18"/>
              </w:rPr>
              <w:t>2026-03-25</w:t>
            </w:r>
          </w:p>
        </w:tc>
        <w:tc>
          <w:tcPr>
            <w:tcW w:type="dxa" w:w="2340"/>
          </w:tcPr>
          <w:p>
            <w:pPr>
              <w:spacing w:before="20" w:after="20"/>
            </w:pPr>
            <w:r>
              <w:rPr>
                <w:sz w:val="18"/>
              </w:rPr>
              <w:t>OIG IT Division</w:t>
            </w:r>
          </w:p>
        </w:tc>
        <w:tc>
          <w:tcPr>
            <w:tcW w:type="dxa" w:w="2340"/>
          </w:tcPr>
          <w:p>
            <w:pPr>
              <w:spacing w:before="20" w:after="20"/>
            </w:pPr>
            <w:r>
              <w:rPr>
                <w:sz w:val="18"/>
              </w:rPr>
              <w:t>Internal review</w:t>
            </w:r>
          </w:p>
        </w:tc>
      </w:tr>
      <w:tr>
        <w:tc>
          <w:tcPr>
            <w:tcW w:type="dxa" w:w="2340"/>
          </w:tcPr>
          <w:p>
            <w:pPr>
              <w:spacing w:before="20" w:after="20"/>
            </w:pPr>
            <w:r>
              <w:rPr>
                <w:sz w:val="18"/>
              </w:rPr>
              <w:t>1.0</w:t>
            </w:r>
          </w:p>
        </w:tc>
        <w:tc>
          <w:tcPr>
            <w:tcW w:type="dxa" w:w="2340"/>
          </w:tcPr>
          <w:p>
            <w:pPr>
              <w:spacing w:before="20" w:after="20"/>
            </w:pPr>
            <w:r>
              <w:rPr>
                <w:sz w:val="18"/>
              </w:rPr>
              <w:t>2026-03-31</w:t>
            </w:r>
          </w:p>
        </w:tc>
        <w:tc>
          <w:tcPr>
            <w:tcW w:type="dxa" w:w="2340"/>
          </w:tcPr>
          <w:p>
            <w:pPr>
              <w:spacing w:before="20" w:after="20"/>
            </w:pPr>
            <w:r>
              <w:rPr>
                <w:sz w:val="18"/>
              </w:rPr>
              <w:t>OIG IT Division</w:t>
            </w:r>
          </w:p>
        </w:tc>
        <w:tc>
          <w:tcPr>
            <w:tcW w:type="dxa" w:w="2340"/>
          </w:tcPr>
          <w:p>
            <w:pPr>
              <w:spacing w:before="20" w:after="20"/>
            </w:pPr>
            <w:r>
              <w:rPr>
                <w:sz w:val="18"/>
              </w:rPr>
              <w:t>Baseline release</w:t>
            </w:r>
          </w:p>
        </w:tc>
      </w:tr>
    </w:tbl>
    <w:p/>
    <w:p>
      <w:r>
        <w:t>____________________________________________________________</w:t>
      </w:r>
    </w:p>
    <w:p>
      <w:pPr>
        <w:pStyle w:val="Heading1"/>
      </w:pPr>
      <w:r>
        <w:t>Table of Contents</w:t>
      </w:r>
    </w:p>
    <w:p>
      <w:pPr>
        <w:pStyle w:val="ListNumber"/>
        <w:spacing w:before="20" w:after="20"/>
      </w:pPr>
      <w:r>
        <w:t>[Executive Summary](#1-executive-summary)</w:t>
      </w:r>
    </w:p>
    <w:p>
      <w:pPr>
        <w:pStyle w:val="ListNumber"/>
        <w:spacing w:before="20" w:after="20"/>
      </w:pPr>
      <w:r>
        <w:t>[System Description](#2-system-description)</w:t>
      </w:r>
    </w:p>
    <w:p>
      <w:pPr>
        <w:pStyle w:val="ListNumber"/>
        <w:spacing w:before="20" w:after="20"/>
      </w:pPr>
      <w:r>
        <w:t>[Implementation Phases](#3-implementation-phases)</w:t>
      </w:r>
    </w:p>
    <w:p>
      <w:pPr>
        <w:pStyle w:val="ListNumber"/>
        <w:spacing w:before="20" w:after="20"/>
      </w:pPr>
      <w:r>
        <w:t>[Data Migration Plan](#4-data-migration-plan)</w:t>
      </w:r>
    </w:p>
    <w:p>
      <w:pPr>
        <w:pStyle w:val="ListNumber"/>
        <w:spacing w:before="20" w:after="20"/>
      </w:pPr>
      <w:r>
        <w:t>[Testing Strategy](#5-testing-strategy)</w:t>
      </w:r>
    </w:p>
    <w:p>
      <w:pPr>
        <w:pStyle w:val="ListNumber"/>
        <w:spacing w:before="20" w:after="20"/>
      </w:pPr>
      <w:r>
        <w:t>[Training Plan](#6-training-plan)</w:t>
      </w:r>
    </w:p>
    <w:p>
      <w:pPr>
        <w:pStyle w:val="ListNumber"/>
        <w:spacing w:before="20" w:after="20"/>
      </w:pPr>
      <w:r>
        <w:t>[Risk Management](#7-risk-management)</w:t>
      </w:r>
    </w:p>
    <w:p>
      <w:pPr>
        <w:pStyle w:val="ListNumber"/>
        <w:spacing w:before="20" w:after="20"/>
      </w:pPr>
      <w:r>
        <w:t>[Resource Requirements](#8-resource-requirements)</w:t>
      </w:r>
    </w:p>
    <w:p>
      <w:pPr>
        <w:pStyle w:val="ListNumber"/>
        <w:spacing w:before="20" w:after="20"/>
      </w:pPr>
      <w:r>
        <w:t>[Security and Compliance](#9-security-and-compliance)</w:t>
      </w:r>
    </w:p>
    <w:p>
      <w:pPr>
        <w:pStyle w:val="ListNumber"/>
        <w:spacing w:before="20" w:after="20"/>
      </w:pPr>
      <w:r>
        <w:t>[Support and Maintenance](#10-support-and-maintenance)</w:t>
      </w:r>
    </w:p>
    <w:p>
      <w:pPr>
        <w:pStyle w:val="ListNumber"/>
        <w:spacing w:before="20" w:after="20"/>
      </w:pPr>
      <w:r>
        <w:t>[Milestones and Schedule](#11-milestones-and-schedule)</w:t>
      </w:r>
    </w:p>
    <w:p>
      <w:pPr>
        <w:pStyle w:val="ListNumber"/>
        <w:spacing w:before="20" w:after="20"/>
      </w:pPr>
      <w:r>
        <w:t>[Appendices](#12-appendices)</w:t>
      </w:r>
    </w:p>
    <w:p>
      <w:r>
        <w:t>____________________________________________________________</w:t>
      </w:r>
    </w:p>
    <w:p>
      <w:pPr>
        <w:pStyle w:val="Heading1"/>
      </w:pPr>
      <w:r>
        <w:t>1. Executive Summary</w:t>
      </w:r>
    </w:p>
    <w:p>
      <w:pPr>
        <w:pStyle w:val="Heading2"/>
      </w:pPr>
      <w:r>
        <w:t>1.1 Project Overview</w:t>
      </w:r>
    </w:p>
    <w:p>
      <w:pPr>
        <w:spacing w:after="80"/>
      </w:pPr>
      <w:r>
        <w:t>The Office of Inspector General Investigation Tracking System (OIG-ITS) is a comprehensive, web-based case management platform designed to modernize and replace the legacy investigation tracking infrastructure currently in use by the OIG. The system provides end-to-end lifecycle management for investigations, audits, preliminary inquiries, and compliance activities conducted by the Office of Inspector General.</w:t>
      </w:r>
    </w:p>
    <w:p>
      <w:pPr>
        <w:pStyle w:val="Heading2"/>
      </w:pPr>
      <w:r>
        <w:t>1.2 Purpose</w:t>
      </w:r>
    </w:p>
    <w:p>
      <w:pPr>
        <w:spacing w:after="80"/>
      </w:pPr>
      <w:r>
        <w:t>This System Implementation Plan (SIP) establishes the detailed strategy, timeline, and procedures for deploying OIG-ITS into the production environment. The plan addresses all phases of implementation from infrastructure provisioning through post-go-live stabilization, in accordance with Statement of Work deliverable DM4.</w:t>
      </w:r>
    </w:p>
    <w:p>
      <w:pPr>
        <w:pStyle w:val="Heading2"/>
      </w:pPr>
      <w:r>
        <w:t>1.3 Stakeholders</w:t>
      </w:r>
    </w:p>
    <w:tbl>
      <w:tblPr>
        <w:tblStyle w:val="LightGrid-Accent1"/>
        <w:tblW w:type="auto" w:w="0"/>
        <w:jc w:val="left"/>
        <w:tblLook w:firstColumn="1" w:firstRow="1" w:lastColumn="0" w:lastRow="0" w:noHBand="0" w:noVBand="1" w:val="04A0"/>
      </w:tblPr>
      <w:tblGrid>
        <w:gridCol w:w="4680"/>
        <w:gridCol w:w="4680"/>
      </w:tblGrid>
      <w:tr>
        <w:tc>
          <w:tcPr>
            <w:tcW w:type="dxa" w:w="4680"/>
          </w:tcPr>
          <w:p>
            <w:pPr>
              <w:spacing w:before="20" w:after="20"/>
            </w:pPr>
            <w:r>
              <w:rPr>
                <w:sz w:val="18"/>
              </w:rPr>
              <w:t>Stakeholder</w:t>
            </w:r>
          </w:p>
        </w:tc>
        <w:tc>
          <w:tcPr>
            <w:tcW w:type="dxa" w:w="4680"/>
          </w:tcPr>
          <w:p>
            <w:pPr>
              <w:spacing w:before="20" w:after="20"/>
            </w:pPr>
            <w:r>
              <w:rPr>
                <w:sz w:val="18"/>
              </w:rPr>
              <w:t>Role</w:t>
            </w:r>
          </w:p>
        </w:tc>
      </w:tr>
      <w:tr>
        <w:tc>
          <w:tcPr>
            <w:tcW w:type="dxa" w:w="4680"/>
          </w:tcPr>
          <w:p>
            <w:pPr>
              <w:spacing w:before="20" w:after="20"/>
            </w:pPr>
            <w:r>
              <w:rPr>
                <w:sz w:val="18"/>
              </w:rPr>
              <w:t>Inspector General</w:t>
            </w:r>
          </w:p>
        </w:tc>
        <w:tc>
          <w:tcPr>
            <w:tcW w:type="dxa" w:w="4680"/>
          </w:tcPr>
          <w:p>
            <w:pPr>
              <w:spacing w:before="20" w:after="20"/>
            </w:pPr>
            <w:r>
              <w:rPr>
                <w:sz w:val="18"/>
              </w:rPr>
              <w:t>Executive Sponsor</w:t>
            </w:r>
          </w:p>
        </w:tc>
      </w:tr>
      <w:tr>
        <w:tc>
          <w:tcPr>
            <w:tcW w:type="dxa" w:w="4680"/>
          </w:tcPr>
          <w:p>
            <w:pPr>
              <w:spacing w:before="20" w:after="20"/>
            </w:pPr>
            <w:r>
              <w:rPr>
                <w:sz w:val="18"/>
              </w:rPr>
              <w:t>Deputy Inspector General</w:t>
            </w:r>
          </w:p>
        </w:tc>
        <w:tc>
          <w:tcPr>
            <w:tcW w:type="dxa" w:w="4680"/>
          </w:tcPr>
          <w:p>
            <w:pPr>
              <w:spacing w:before="20" w:after="20"/>
            </w:pPr>
            <w:r>
              <w:rPr>
                <w:sz w:val="18"/>
              </w:rPr>
              <w:t>Authorizing Official</w:t>
            </w:r>
          </w:p>
        </w:tc>
      </w:tr>
      <w:tr>
        <w:tc>
          <w:tcPr>
            <w:tcW w:type="dxa" w:w="4680"/>
          </w:tcPr>
          <w:p>
            <w:pPr>
              <w:spacing w:before="20" w:after="20"/>
            </w:pPr>
            <w:r>
              <w:rPr>
                <w:sz w:val="18"/>
              </w:rPr>
              <w:t>Assistant IG for Investigations</w:t>
            </w:r>
          </w:p>
        </w:tc>
        <w:tc>
          <w:tcPr>
            <w:tcW w:type="dxa" w:w="4680"/>
          </w:tcPr>
          <w:p>
            <w:pPr>
              <w:spacing w:before="20" w:after="20"/>
            </w:pPr>
            <w:r>
              <w:rPr>
                <w:sz w:val="18"/>
              </w:rPr>
              <w:t>Primary Business Owner</w:t>
            </w:r>
          </w:p>
        </w:tc>
      </w:tr>
      <w:tr>
        <w:tc>
          <w:tcPr>
            <w:tcW w:type="dxa" w:w="4680"/>
          </w:tcPr>
          <w:p>
            <w:pPr>
              <w:spacing w:before="20" w:after="20"/>
            </w:pPr>
            <w:r>
              <w:rPr>
                <w:sz w:val="18"/>
              </w:rPr>
              <w:t>Assistant IG for Audits</w:t>
            </w:r>
          </w:p>
        </w:tc>
        <w:tc>
          <w:tcPr>
            <w:tcW w:type="dxa" w:w="4680"/>
          </w:tcPr>
          <w:p>
            <w:pPr>
              <w:spacing w:before="20" w:after="20"/>
            </w:pPr>
            <w:r>
              <w:rPr>
                <w:sz w:val="18"/>
              </w:rPr>
              <w:t>Secondary Business Owner</w:t>
            </w:r>
          </w:p>
        </w:tc>
      </w:tr>
      <w:tr>
        <w:tc>
          <w:tcPr>
            <w:tcW w:type="dxa" w:w="4680"/>
          </w:tcPr>
          <w:p>
            <w:pPr>
              <w:spacing w:before="20" w:after="20"/>
            </w:pPr>
            <w:r>
              <w:rPr>
                <w:sz w:val="18"/>
              </w:rPr>
              <w:t>Chief Information Officer (CIO)</w:t>
            </w:r>
          </w:p>
        </w:tc>
        <w:tc>
          <w:tcPr>
            <w:tcW w:type="dxa" w:w="4680"/>
          </w:tcPr>
          <w:p>
            <w:pPr>
              <w:spacing w:before="20" w:after="20"/>
            </w:pPr>
            <w:r>
              <w:rPr>
                <w:sz w:val="18"/>
              </w:rPr>
              <w:t>Technical Authority</w:t>
            </w:r>
          </w:p>
        </w:tc>
      </w:tr>
      <w:tr>
        <w:tc>
          <w:tcPr>
            <w:tcW w:type="dxa" w:w="4680"/>
          </w:tcPr>
          <w:p>
            <w:pPr>
              <w:spacing w:before="20" w:after="20"/>
            </w:pPr>
            <w:r>
              <w:rPr>
                <w:sz w:val="18"/>
              </w:rPr>
              <w:t>Information System Security Officer</w:t>
            </w:r>
          </w:p>
        </w:tc>
        <w:tc>
          <w:tcPr>
            <w:tcW w:type="dxa" w:w="4680"/>
          </w:tcPr>
          <w:p>
            <w:pPr>
              <w:spacing w:before="20" w:after="20"/>
            </w:pPr>
            <w:r>
              <w:rPr>
                <w:sz w:val="18"/>
              </w:rPr>
              <w:t>Security Oversight</w:t>
            </w:r>
          </w:p>
        </w:tc>
      </w:tr>
      <w:tr>
        <w:tc>
          <w:tcPr>
            <w:tcW w:type="dxa" w:w="4680"/>
          </w:tcPr>
          <w:p>
            <w:pPr>
              <w:spacing w:before="20" w:after="20"/>
            </w:pPr>
            <w:r>
              <w:rPr>
                <w:sz w:val="18"/>
              </w:rPr>
              <w:t>OIG Investigators</w:t>
            </w:r>
          </w:p>
        </w:tc>
        <w:tc>
          <w:tcPr>
            <w:tcW w:type="dxa" w:w="4680"/>
          </w:tcPr>
          <w:p>
            <w:pPr>
              <w:spacing w:before="20" w:after="20"/>
            </w:pPr>
            <w:r>
              <w:rPr>
                <w:sz w:val="18"/>
              </w:rPr>
              <w:t>Primary End Users</w:t>
            </w:r>
          </w:p>
        </w:tc>
      </w:tr>
      <w:tr>
        <w:tc>
          <w:tcPr>
            <w:tcW w:type="dxa" w:w="4680"/>
          </w:tcPr>
          <w:p>
            <w:pPr>
              <w:spacing w:before="20" w:after="20"/>
            </w:pPr>
            <w:r>
              <w:rPr>
                <w:sz w:val="18"/>
              </w:rPr>
              <w:t>OIG Supervisors</w:t>
            </w:r>
          </w:p>
        </w:tc>
        <w:tc>
          <w:tcPr>
            <w:tcW w:type="dxa" w:w="4680"/>
          </w:tcPr>
          <w:p>
            <w:pPr>
              <w:spacing w:before="20" w:after="20"/>
            </w:pPr>
            <w:r>
              <w:rPr>
                <w:sz w:val="18"/>
              </w:rPr>
              <w:t>Approving Officials / End Users</w:t>
            </w:r>
          </w:p>
        </w:tc>
      </w:tr>
      <w:tr>
        <w:tc>
          <w:tcPr>
            <w:tcW w:type="dxa" w:w="4680"/>
          </w:tcPr>
          <w:p>
            <w:pPr>
              <w:spacing w:before="20" w:after="20"/>
            </w:pPr>
            <w:r>
              <w:rPr>
                <w:sz w:val="18"/>
              </w:rPr>
              <w:t>OIG Analysts</w:t>
            </w:r>
          </w:p>
        </w:tc>
        <w:tc>
          <w:tcPr>
            <w:tcW w:type="dxa" w:w="4680"/>
          </w:tcPr>
          <w:p>
            <w:pPr>
              <w:spacing w:before="20" w:after="20"/>
            </w:pPr>
            <w:r>
              <w:rPr>
                <w:sz w:val="18"/>
              </w:rPr>
              <w:t>End Users</w:t>
            </w:r>
          </w:p>
        </w:tc>
      </w:tr>
      <w:tr>
        <w:tc>
          <w:tcPr>
            <w:tcW w:type="dxa" w:w="4680"/>
          </w:tcPr>
          <w:p>
            <w:pPr>
              <w:spacing w:before="20" w:after="20"/>
            </w:pPr>
            <w:r>
              <w:rPr>
                <w:sz w:val="18"/>
              </w:rPr>
              <w:t>OIG Auditors</w:t>
            </w:r>
          </w:p>
        </w:tc>
        <w:tc>
          <w:tcPr>
            <w:tcW w:type="dxa" w:w="4680"/>
          </w:tcPr>
          <w:p>
            <w:pPr>
              <w:spacing w:before="20" w:after="20"/>
            </w:pPr>
            <w:r>
              <w:rPr>
                <w:sz w:val="18"/>
              </w:rPr>
              <w:t>End Users</w:t>
            </w:r>
          </w:p>
        </w:tc>
      </w:tr>
      <w:tr>
        <w:tc>
          <w:tcPr>
            <w:tcW w:type="dxa" w:w="4680"/>
          </w:tcPr>
          <w:p>
            <w:pPr>
              <w:spacing w:before="20" w:after="20"/>
            </w:pPr>
            <w:r>
              <w:rPr>
                <w:sz w:val="18"/>
              </w:rPr>
              <w:t>Contractor Development Team</w:t>
            </w:r>
          </w:p>
        </w:tc>
        <w:tc>
          <w:tcPr>
            <w:tcW w:type="dxa" w:w="4680"/>
          </w:tcPr>
          <w:p>
            <w:pPr>
              <w:spacing w:before="20" w:after="20"/>
            </w:pPr>
            <w:r>
              <w:rPr>
                <w:sz w:val="18"/>
              </w:rPr>
              <w:t>System Development and Deployment</w:t>
            </w:r>
          </w:p>
        </w:tc>
      </w:tr>
    </w:tbl>
    <w:p/>
    <w:p>
      <w:pPr>
        <w:pStyle w:val="Heading2"/>
      </w:pPr>
      <w:r>
        <w:t>1.4 Implementation Approach</w:t>
      </w:r>
    </w:p>
    <w:p>
      <w:pPr>
        <w:spacing w:after="80"/>
      </w:pPr>
      <w:r>
        <w:t>OIG-ITS shall be implemented using an Agile methodology with phased delivery across an 18-week deployment window. The implementation is organized into six distinct phases, each with defined entry criteria, deliverables, and Go/No-Go decision points. This approach mitigates risk by allowing incremental validation of system functionality before proceeding to subsequent phases.</w:t>
      </w:r>
    </w:p>
    <w:p>
      <w:pPr>
        <w:pStyle w:val="Heading2"/>
      </w:pPr>
      <w:r>
        <w:t>1.5 Timeline Overview</w:t>
      </w:r>
    </w:p>
    <w:p>
      <w:pPr>
        <w:spacing w:after="80"/>
      </w:pPr>
      <w:r>
        <w:t>The implementation spans 18 weeks, commencing upon Authority to Operate (ATO) approval and infrastructure readiness confirmation. The six phases are:</w:t>
      </w:r>
    </w:p>
    <w:p>
      <w:pPr>
        <w:pStyle w:val="ListBullet"/>
        <w:spacing w:before="20" w:after="20"/>
      </w:pPr>
      <w:r>
        <w:t>Phase 1: Infrastructure Setup (Weeks 1--2)</w:t>
      </w:r>
    </w:p>
    <w:p>
      <w:pPr>
        <w:pStyle w:val="ListBullet"/>
        <w:spacing w:before="20" w:after="20"/>
      </w:pPr>
      <w:r>
        <w:t>Phase 2: Core Application Deployment (Weeks 3--4)</w:t>
      </w:r>
    </w:p>
    <w:p>
      <w:pPr>
        <w:pStyle w:val="ListBullet"/>
        <w:spacing w:before="20" w:after="20"/>
      </w:pPr>
      <w:r>
        <w:t>Phase 3: Data Migration (Weeks 5--8)</w:t>
      </w:r>
    </w:p>
    <w:p>
      <w:pPr>
        <w:pStyle w:val="ListBullet"/>
        <w:spacing w:before="20" w:after="20"/>
      </w:pPr>
      <w:r>
        <w:t>Phase 4: Integration and Testing (Weeks 9--12)</w:t>
      </w:r>
    </w:p>
    <w:p>
      <w:pPr>
        <w:pStyle w:val="ListBullet"/>
        <w:spacing w:before="20" w:after="20"/>
      </w:pPr>
      <w:r>
        <w:t>Phase 5: Training and Go-Live (Weeks 13--16)</w:t>
      </w:r>
    </w:p>
    <w:p>
      <w:pPr>
        <w:pStyle w:val="ListBullet"/>
        <w:spacing w:before="20" w:after="20"/>
      </w:pPr>
      <w:r>
        <w:t>Phase 6: Stabilization (Weeks 17--18)</w:t>
      </w:r>
    </w:p>
    <w:p>
      <w:r>
        <w:t>____________________________________________________________</w:t>
      </w:r>
    </w:p>
    <w:p>
      <w:pPr>
        <w:pStyle w:val="Heading1"/>
      </w:pPr>
      <w:r>
        <w:t>2. System Description</w:t>
      </w:r>
    </w:p>
    <w:p>
      <w:pPr>
        <w:pStyle w:val="Heading2"/>
      </w:pPr>
      <w:r>
        <w:t>2.1 Current State (Legacy System)</w:t>
      </w:r>
    </w:p>
    <w:p>
      <w:pPr>
        <w:spacing w:after="80"/>
      </w:pPr>
      <w:r>
        <w:t>The current investigation tracking environment consists of a combination of spreadsheet-based tracking tools, shared network drives for document storage, email-based workflow coordination, and manual reporting processes. Key deficiencies of the legacy system include:</w:t>
      </w:r>
    </w:p>
    <w:p>
      <w:pPr>
        <w:pStyle w:val="ListBullet"/>
        <w:spacing w:before="20" w:after="20"/>
      </w:pPr>
      <w:r>
        <w:t>No centralized case management: Investigation data is fragmented across multiple spreadsheets, email threads, and individual workstations, resulting in data silos and limited visibility for supervisors and management.</w:t>
      </w:r>
    </w:p>
    <w:p>
      <w:pPr>
        <w:pStyle w:val="ListBullet"/>
        <w:spacing w:before="20" w:after="20"/>
      </w:pPr>
      <w:r>
        <w:t>Manual workflow processes: Case assignments, status updates, and approval workflows are conducted via email, introducing delays and eliminating audit trail integrity.</w:t>
      </w:r>
    </w:p>
    <w:p>
      <w:pPr>
        <w:pStyle w:val="ListBullet"/>
        <w:spacing w:before="20" w:after="20"/>
      </w:pPr>
      <w:r>
        <w:t>Limited search capability: Investigators cannot efficiently search across historical cases, subjects, or evidentiary records.</w:t>
      </w:r>
    </w:p>
    <w:p>
      <w:pPr>
        <w:pStyle w:val="ListBullet"/>
        <w:spacing w:before="20" w:after="20"/>
      </w:pPr>
      <w:r>
        <w:t>No role-based access control: Sensitive investigation data lacks granular access controls, creating compliance and privacy risks.</w:t>
      </w:r>
    </w:p>
    <w:p>
      <w:pPr>
        <w:pStyle w:val="ListBullet"/>
        <w:spacing w:before="20" w:after="20"/>
      </w:pPr>
      <w:r>
        <w:t>Inadequate reporting: Management reports require manual compilation, resulting in stale data and significant labor expenditure.</w:t>
      </w:r>
    </w:p>
    <w:p>
      <w:pPr>
        <w:pStyle w:val="ListBullet"/>
        <w:spacing w:before="20" w:after="20"/>
      </w:pPr>
      <w:r>
        <w:t>No chain-of-custody tracking: Evidence handling lacks systematic documentation, introducing risk to prosecutorial viability.</w:t>
      </w:r>
    </w:p>
    <w:p>
      <w:pPr>
        <w:pStyle w:val="ListBullet"/>
        <w:spacing w:before="20" w:after="20"/>
      </w:pPr>
      <w:r>
        <w:t>No integration with analytical tools: Investigators lack access to AI-powered analytics, pattern detection, and risk scoring capabilities.</w:t>
      </w:r>
    </w:p>
    <w:p>
      <w:pPr>
        <w:pStyle w:val="Heading2"/>
      </w:pPr>
      <w:r>
        <w:t>2.2 Target State (OIG-ITS)</w:t>
      </w:r>
    </w:p>
    <w:p>
      <w:pPr>
        <w:spacing w:after="80"/>
      </w:pPr>
      <w:r>
        <w:t>OIG-ITS is a modern, full-stack web application built on Next.js 16, PostgreSQL 16, and a suite of supporting services. The system delivers the following target-state architecture:</w:t>
      </w:r>
    </w:p>
    <w:p>
      <w:pPr>
        <w:pStyle w:val="ListBullet"/>
        <w:spacing w:before="20" w:after="20"/>
      </w:pPr>
      <w:r>
        <w:t>Centralized case management with support for fraud, waste, abuse, misconduct, whistleblower, compliance, outreach, and briefing case types.</w:t>
      </w:r>
    </w:p>
    <w:p>
      <w:pPr>
        <w:pStyle w:val="ListBullet"/>
        <w:spacing w:before="20" w:after="20"/>
      </w:pPr>
      <w:r>
        <w:t>53 data models encompassing the complete investigation lifecycle, from preliminary inquiry through case closure and archival.</w:t>
      </w:r>
    </w:p>
    <w:p>
      <w:pPr>
        <w:pStyle w:val="ListBullet"/>
        <w:spacing w:before="20" w:after="20"/>
      </w:pPr>
      <w:r>
        <w:t>Role-based access control (RBAC) with six defined roles: Administrator, Investigator, Supervisor, Analyst, Auditor, and Read-Only.</w:t>
      </w:r>
    </w:p>
    <w:p>
      <w:pPr>
        <w:pStyle w:val="ListBullet"/>
        <w:spacing w:before="20" w:after="20"/>
      </w:pPr>
      <w:r>
        <w:t>Full-text search powered by MeiliSearch for rapid retrieval across cases, subjects, documents, and evidence.</w:t>
      </w:r>
    </w:p>
    <w:p>
      <w:pPr>
        <w:pStyle w:val="ListBullet"/>
        <w:spacing w:before="20" w:after="20"/>
      </w:pPr>
      <w:r>
        <w:t>Object storage via MinIO (S3-compatible) for secure document and evidence file management.</w:t>
      </w:r>
    </w:p>
    <w:p>
      <w:pPr>
        <w:pStyle w:val="ListBullet"/>
        <w:spacing w:before="20" w:after="20"/>
      </w:pPr>
      <w:r>
        <w:t>Background job processing via BullMQ/Redis for asynchronous operations including email notifications, scheduled reports, and training expiration checks.</w:t>
      </w:r>
    </w:p>
    <w:p>
      <w:pPr>
        <w:pStyle w:val="ListBullet"/>
        <w:spacing w:before="20" w:after="20"/>
      </w:pPr>
      <w:r>
        <w:t>AI-powered investigation intelligence comprising 17 algorithm endpoints for risk scoring, similar-case identification, duplicate subject detection, document classification, anomaly detection, network analysis, case clustering, complaint deduplication, investigator recommendation, escalation prediction, evidence strength assessment, timeline anomaly detection, closure readiness evaluation, workload balancing, financial pattern analysis, subject risk profiling, and case narrative generation.</w:t>
      </w:r>
    </w:p>
    <w:p>
      <w:pPr>
        <w:pStyle w:val="ListBullet"/>
        <w:spacing w:before="20" w:after="20"/>
      </w:pPr>
      <w:r>
        <w:t>Comprehensive audit logging with immutable records of all system actions for accountability and FISMA compliance.</w:t>
      </w:r>
    </w:p>
    <w:p>
      <w:pPr>
        <w:pStyle w:val="ListBullet"/>
        <w:spacing w:before="20" w:after="20"/>
      </w:pPr>
      <w:r>
        <w:t>96 API endpoints supporting the full range of system operations.</w:t>
      </w:r>
    </w:p>
    <w:p>
      <w:pPr>
        <w:pStyle w:val="ListBullet"/>
        <w:spacing w:before="20" w:after="20"/>
      </w:pPr>
      <w:r>
        <w:t>24 dashboard modules including case management, subjects, documents, evidence, tasks, workflows, analytics, AI, reports, training, timesheets, calendar, inventory, inquiries, approvals, financial, audit log, notifications, search, settings, and user administration.</w:t>
      </w:r>
    </w:p>
    <w:p>
      <w:pPr>
        <w:pStyle w:val="Heading2"/>
      </w:pPr>
      <w:r>
        <w:t>2.3 Key Capabilities Delivered</w:t>
      </w:r>
    </w:p>
    <w:tbl>
      <w:tblPr>
        <w:tblStyle w:val="LightGrid-Accent1"/>
        <w:tblW w:type="auto" w:w="0"/>
        <w:jc w:val="left"/>
        <w:tblLook w:firstColumn="1" w:firstRow="1" w:lastColumn="0" w:lastRow="0" w:noHBand="0" w:noVBand="1" w:val="04A0"/>
      </w:tblPr>
      <w:tblGrid>
        <w:gridCol w:w="4680"/>
        <w:gridCol w:w="4680"/>
      </w:tblGrid>
      <w:tr>
        <w:tc>
          <w:tcPr>
            <w:tcW w:type="dxa" w:w="4680"/>
          </w:tcPr>
          <w:p>
            <w:pPr>
              <w:spacing w:before="20" w:after="20"/>
            </w:pPr>
            <w:r>
              <w:rPr>
                <w:sz w:val="18"/>
              </w:rPr>
              <w:t>Capability</w:t>
            </w:r>
          </w:p>
        </w:tc>
        <w:tc>
          <w:tcPr>
            <w:tcW w:type="dxa" w:w="4680"/>
          </w:tcPr>
          <w:p>
            <w:pPr>
              <w:spacing w:before="20" w:after="20"/>
            </w:pPr>
            <w:r>
              <w:rPr>
                <w:sz w:val="18"/>
              </w:rPr>
              <w:t>Description</w:t>
            </w:r>
          </w:p>
        </w:tc>
      </w:tr>
      <w:tr>
        <w:tc>
          <w:tcPr>
            <w:tcW w:type="dxa" w:w="4680"/>
          </w:tcPr>
          <w:p>
            <w:pPr>
              <w:spacing w:before="20" w:after="20"/>
            </w:pPr>
            <w:r>
              <w:rPr>
                <w:sz w:val="18"/>
              </w:rPr>
              <w:t>Case Lifecycle Management</w:t>
            </w:r>
          </w:p>
        </w:tc>
        <w:tc>
          <w:tcPr>
            <w:tcW w:type="dxa" w:w="4680"/>
          </w:tcPr>
          <w:p>
            <w:pPr>
              <w:spacing w:before="20" w:after="20"/>
            </w:pPr>
            <w:r>
              <w:rPr>
                <w:sz w:val="18"/>
              </w:rPr>
              <w:t>Intake through closure with configurable status workflows</w:t>
            </w:r>
          </w:p>
        </w:tc>
      </w:tr>
      <w:tr>
        <w:tc>
          <w:tcPr>
            <w:tcW w:type="dxa" w:w="4680"/>
          </w:tcPr>
          <w:p>
            <w:pPr>
              <w:spacing w:before="20" w:after="20"/>
            </w:pPr>
            <w:r>
              <w:rPr>
                <w:sz w:val="18"/>
              </w:rPr>
              <w:t>Preliminary Inquiries</w:t>
            </w:r>
          </w:p>
        </w:tc>
        <w:tc>
          <w:tcPr>
            <w:tcW w:type="dxa" w:w="4680"/>
          </w:tcPr>
          <w:p>
            <w:pPr>
              <w:spacing w:before="20" w:after="20"/>
            </w:pPr>
            <w:r>
              <w:rPr>
                <w:sz w:val="18"/>
              </w:rPr>
              <w:t>Pre-investigation inquiry tracking with conversion to full cases</w:t>
            </w:r>
          </w:p>
        </w:tc>
      </w:tr>
      <w:tr>
        <w:tc>
          <w:tcPr>
            <w:tcW w:type="dxa" w:w="4680"/>
          </w:tcPr>
          <w:p>
            <w:pPr>
              <w:spacing w:before="20" w:after="20"/>
            </w:pPr>
            <w:r>
              <w:rPr>
                <w:sz w:val="18"/>
              </w:rPr>
              <w:t>Subject Management</w:t>
            </w:r>
          </w:p>
        </w:tc>
        <w:tc>
          <w:tcPr>
            <w:tcW w:type="dxa" w:w="4680"/>
          </w:tcPr>
          <w:p>
            <w:pPr>
              <w:spacing w:before="20" w:after="20"/>
            </w:pPr>
            <w:r>
              <w:rPr>
                <w:sz w:val="18"/>
              </w:rPr>
              <w:t>Hierarchical subject tracking across cases with role classification</w:t>
            </w:r>
          </w:p>
        </w:tc>
      </w:tr>
      <w:tr>
        <w:tc>
          <w:tcPr>
            <w:tcW w:type="dxa" w:w="4680"/>
          </w:tcPr>
          <w:p>
            <w:pPr>
              <w:spacing w:before="20" w:after="20"/>
            </w:pPr>
            <w:r>
              <w:rPr>
                <w:sz w:val="18"/>
              </w:rPr>
              <w:t>Document Management</w:t>
            </w:r>
          </w:p>
        </w:tc>
        <w:tc>
          <w:tcPr>
            <w:tcW w:type="dxa" w:w="4680"/>
          </w:tcPr>
          <w:p>
            <w:pPr>
              <w:spacing w:before="20" w:after="20"/>
            </w:pPr>
            <w:r>
              <w:rPr>
                <w:sz w:val="18"/>
              </w:rPr>
              <w:t>Versioned document storage with approval workflows and retention policies</w:t>
            </w:r>
          </w:p>
        </w:tc>
      </w:tr>
      <w:tr>
        <w:tc>
          <w:tcPr>
            <w:tcW w:type="dxa" w:w="4680"/>
          </w:tcPr>
          <w:p>
            <w:pPr>
              <w:spacing w:before="20" w:after="20"/>
            </w:pPr>
            <w:r>
              <w:rPr>
                <w:sz w:val="18"/>
              </w:rPr>
              <w:t>Evidence Management</w:t>
            </w:r>
          </w:p>
        </w:tc>
        <w:tc>
          <w:tcPr>
            <w:tcW w:type="dxa" w:w="4680"/>
          </w:tcPr>
          <w:p>
            <w:pPr>
              <w:spacing w:before="20" w:after="20"/>
            </w:pPr>
            <w:r>
              <w:rPr>
                <w:sz w:val="18"/>
              </w:rPr>
              <w:t>Chain-of-custody tracking with evidence file attachments</w:t>
            </w:r>
          </w:p>
        </w:tc>
      </w:tr>
      <w:tr>
        <w:tc>
          <w:tcPr>
            <w:tcW w:type="dxa" w:w="4680"/>
          </w:tcPr>
          <w:p>
            <w:pPr>
              <w:spacing w:before="20" w:after="20"/>
            </w:pPr>
            <w:r>
              <w:rPr>
                <w:sz w:val="18"/>
              </w:rPr>
              <w:t>Task Management</w:t>
            </w:r>
          </w:p>
        </w:tc>
        <w:tc>
          <w:tcPr>
            <w:tcW w:type="dxa" w:w="4680"/>
          </w:tcPr>
          <w:p>
            <w:pPr>
              <w:spacing w:before="20" w:after="20"/>
            </w:pPr>
            <w:r>
              <w:rPr>
                <w:sz w:val="18"/>
              </w:rPr>
              <w:t>Assignment, tracking, and completion of investigative tasks</w:t>
            </w:r>
          </w:p>
        </w:tc>
      </w:tr>
      <w:tr>
        <w:tc>
          <w:tcPr>
            <w:tcW w:type="dxa" w:w="4680"/>
          </w:tcPr>
          <w:p>
            <w:pPr>
              <w:spacing w:before="20" w:after="20"/>
            </w:pPr>
            <w:r>
              <w:rPr>
                <w:sz w:val="18"/>
              </w:rPr>
              <w:t>Workflow Engine</w:t>
            </w:r>
          </w:p>
        </w:tc>
        <w:tc>
          <w:tcPr>
            <w:tcW w:type="dxa" w:w="4680"/>
          </w:tcPr>
          <w:p>
            <w:pPr>
              <w:spacing w:before="20" w:after="20"/>
            </w:pPr>
            <w:r>
              <w:rPr>
                <w:sz w:val="18"/>
              </w:rPr>
              <w:t>Configurable multi-step workflows for case intake, investigation, and review</w:t>
            </w:r>
          </w:p>
        </w:tc>
      </w:tr>
      <w:tr>
        <w:tc>
          <w:tcPr>
            <w:tcW w:type="dxa" w:w="4680"/>
          </w:tcPr>
          <w:p>
            <w:pPr>
              <w:spacing w:before="20" w:after="20"/>
            </w:pPr>
            <w:r>
              <w:rPr>
                <w:sz w:val="18"/>
              </w:rPr>
              <w:t>Time and Expense Tracking</w:t>
            </w:r>
          </w:p>
        </w:tc>
        <w:tc>
          <w:tcPr>
            <w:tcW w:type="dxa" w:w="4680"/>
          </w:tcPr>
          <w:p>
            <w:pPr>
              <w:spacing w:before="20" w:after="20"/>
            </w:pPr>
            <w:r>
              <w:rPr>
                <w:sz w:val="18"/>
              </w:rPr>
              <w:t>Timesheet management with supervisor approval workflows</w:t>
            </w:r>
          </w:p>
        </w:tc>
      </w:tr>
      <w:tr>
        <w:tc>
          <w:tcPr>
            <w:tcW w:type="dxa" w:w="4680"/>
          </w:tcPr>
          <w:p>
            <w:pPr>
              <w:spacing w:before="20" w:after="20"/>
            </w:pPr>
            <w:r>
              <w:rPr>
                <w:sz w:val="18"/>
              </w:rPr>
              <w:t>Training Management</w:t>
            </w:r>
          </w:p>
        </w:tc>
        <w:tc>
          <w:tcPr>
            <w:tcW w:type="dxa" w:w="4680"/>
          </w:tcPr>
          <w:p>
            <w:pPr>
              <w:spacing w:before="20" w:after="20"/>
            </w:pPr>
            <w:r>
              <w:rPr>
                <w:sz w:val="18"/>
              </w:rPr>
              <w:t>Course tracking, assignments, evaluations, and expiration monitoring</w:t>
            </w:r>
          </w:p>
        </w:tc>
      </w:tr>
      <w:tr>
        <w:tc>
          <w:tcPr>
            <w:tcW w:type="dxa" w:w="4680"/>
          </w:tcPr>
          <w:p>
            <w:pPr>
              <w:spacing w:before="20" w:after="20"/>
            </w:pPr>
            <w:r>
              <w:rPr>
                <w:sz w:val="18"/>
              </w:rPr>
              <w:t>Subpoena Management</w:t>
            </w:r>
          </w:p>
        </w:tc>
        <w:tc>
          <w:tcPr>
            <w:tcW w:type="dxa" w:w="4680"/>
          </w:tcPr>
          <w:p>
            <w:pPr>
              <w:spacing w:before="20" w:after="20"/>
            </w:pPr>
            <w:r>
              <w:rPr>
                <w:sz w:val="18"/>
              </w:rPr>
              <w:t>Subpoena package preparation with approval tracking</w:t>
            </w:r>
          </w:p>
        </w:tc>
      </w:tr>
      <w:tr>
        <w:tc>
          <w:tcPr>
            <w:tcW w:type="dxa" w:w="4680"/>
          </w:tcPr>
          <w:p>
            <w:pPr>
              <w:spacing w:before="20" w:after="20"/>
            </w:pPr>
            <w:r>
              <w:rPr>
                <w:sz w:val="18"/>
              </w:rPr>
              <w:t>Financial Results Tracking</w:t>
            </w:r>
          </w:p>
        </w:tc>
        <w:tc>
          <w:tcPr>
            <w:tcW w:type="dxa" w:w="4680"/>
          </w:tcPr>
          <w:p>
            <w:pPr>
              <w:spacing w:before="20" w:after="20"/>
            </w:pPr>
            <w:r>
              <w:rPr>
                <w:sz w:val="18"/>
              </w:rPr>
              <w:t>Monetary recovery and savings documentation per investigation</w:t>
            </w:r>
          </w:p>
        </w:tc>
      </w:tr>
      <w:tr>
        <w:tc>
          <w:tcPr>
            <w:tcW w:type="dxa" w:w="4680"/>
          </w:tcPr>
          <w:p>
            <w:pPr>
              <w:spacing w:before="20" w:after="20"/>
            </w:pPr>
            <w:r>
              <w:rPr>
                <w:sz w:val="18"/>
              </w:rPr>
              <w:t>Investigative Techniques Logging</w:t>
            </w:r>
          </w:p>
        </w:tc>
        <w:tc>
          <w:tcPr>
            <w:tcW w:type="dxa" w:w="4680"/>
          </w:tcPr>
          <w:p>
            <w:pPr>
              <w:spacing w:before="20" w:after="20"/>
            </w:pPr>
            <w:r>
              <w:rPr>
                <w:sz w:val="18"/>
              </w:rPr>
              <w:t>Documentation of techniques employed per case</w:t>
            </w:r>
          </w:p>
        </w:tc>
      </w:tr>
      <w:tr>
        <w:tc>
          <w:tcPr>
            <w:tcW w:type="dxa" w:w="4680"/>
          </w:tcPr>
          <w:p>
            <w:pPr>
              <w:spacing w:before="20" w:after="20"/>
            </w:pPr>
            <w:r>
              <w:rPr>
                <w:sz w:val="18"/>
              </w:rPr>
              <w:t>Referral Management</w:t>
            </w:r>
          </w:p>
        </w:tc>
        <w:tc>
          <w:tcPr>
            <w:tcW w:type="dxa" w:w="4680"/>
          </w:tcPr>
          <w:p>
            <w:pPr>
              <w:spacing w:before="20" w:after="20"/>
            </w:pPr>
            <w:r>
              <w:rPr>
                <w:sz w:val="18"/>
              </w:rPr>
              <w:t>Inter-agency and intra-agency referral tracking</w:t>
            </w:r>
          </w:p>
        </w:tc>
      </w:tr>
      <w:tr>
        <w:tc>
          <w:tcPr>
            <w:tcW w:type="dxa" w:w="4680"/>
          </w:tcPr>
          <w:p>
            <w:pPr>
              <w:spacing w:before="20" w:after="20"/>
            </w:pPr>
            <w:r>
              <w:rPr>
                <w:sz w:val="18"/>
              </w:rPr>
              <w:t>Reporting and Analytics</w:t>
            </w:r>
          </w:p>
        </w:tc>
        <w:tc>
          <w:tcPr>
            <w:tcW w:type="dxa" w:w="4680"/>
          </w:tcPr>
          <w:p>
            <w:pPr>
              <w:spacing w:before="20" w:after="20"/>
            </w:pPr>
            <w:r>
              <w:rPr>
                <w:sz w:val="18"/>
              </w:rPr>
              <w:t>Configurable reports with scheduling and review workflows</w:t>
            </w:r>
          </w:p>
        </w:tc>
      </w:tr>
      <w:tr>
        <w:tc>
          <w:tcPr>
            <w:tcW w:type="dxa" w:w="4680"/>
          </w:tcPr>
          <w:p>
            <w:pPr>
              <w:spacing w:before="20" w:after="20"/>
            </w:pPr>
            <w:r>
              <w:rPr>
                <w:sz w:val="18"/>
              </w:rPr>
              <w:t>AI Investigation Intelligence</w:t>
            </w:r>
          </w:p>
        </w:tc>
        <w:tc>
          <w:tcPr>
            <w:tcW w:type="dxa" w:w="4680"/>
          </w:tcPr>
          <w:p>
            <w:pPr>
              <w:spacing w:before="20" w:after="20"/>
            </w:pPr>
            <w:r>
              <w:rPr>
                <w:sz w:val="18"/>
              </w:rPr>
              <w:t>17 machine-learning-powered analytical capabilities</w:t>
            </w:r>
          </w:p>
        </w:tc>
      </w:tr>
      <w:tr>
        <w:tc>
          <w:tcPr>
            <w:tcW w:type="dxa" w:w="4680"/>
          </w:tcPr>
          <w:p>
            <w:pPr>
              <w:spacing w:before="20" w:after="20"/>
            </w:pPr>
            <w:r>
              <w:rPr>
                <w:sz w:val="18"/>
              </w:rPr>
              <w:t>Whistleblower and Hotline Intake</w:t>
            </w:r>
          </w:p>
        </w:tc>
        <w:tc>
          <w:tcPr>
            <w:tcW w:type="dxa" w:w="4680"/>
          </w:tcPr>
          <w:p>
            <w:pPr>
              <w:spacing w:before="20" w:after="20"/>
            </w:pPr>
            <w:r>
              <w:rPr>
                <w:sz w:val="18"/>
              </w:rPr>
              <w:t>Public-facing submission endpoints with anonymous reporting</w:t>
            </w:r>
          </w:p>
        </w:tc>
      </w:tr>
      <w:tr>
        <w:tc>
          <w:tcPr>
            <w:tcW w:type="dxa" w:w="4680"/>
          </w:tcPr>
          <w:p>
            <w:pPr>
              <w:spacing w:before="20" w:after="20"/>
            </w:pPr>
            <w:r>
              <w:rPr>
                <w:sz w:val="18"/>
              </w:rPr>
              <w:t>Calendar and Reminders</w:t>
            </w:r>
          </w:p>
        </w:tc>
        <w:tc>
          <w:tcPr>
            <w:tcW w:type="dxa" w:w="4680"/>
          </w:tcPr>
          <w:p>
            <w:pPr>
              <w:spacing w:before="20" w:after="20"/>
            </w:pPr>
            <w:r>
              <w:rPr>
                <w:sz w:val="18"/>
              </w:rPr>
              <w:t>Case-linked calendar events with automated reminders</w:t>
            </w:r>
          </w:p>
        </w:tc>
      </w:tr>
      <w:tr>
        <w:tc>
          <w:tcPr>
            <w:tcW w:type="dxa" w:w="4680"/>
          </w:tcPr>
          <w:p>
            <w:pPr>
              <w:spacing w:before="20" w:after="20"/>
            </w:pPr>
            <w:r>
              <w:rPr>
                <w:sz w:val="18"/>
              </w:rPr>
              <w:t>Inventory Management</w:t>
            </w:r>
          </w:p>
        </w:tc>
        <w:tc>
          <w:tcPr>
            <w:tcW w:type="dxa" w:w="4680"/>
          </w:tcPr>
          <w:p>
            <w:pPr>
              <w:spacing w:before="20" w:after="20"/>
            </w:pPr>
            <w:r>
              <w:rPr>
                <w:sz w:val="18"/>
              </w:rPr>
              <w:t>Equipment and asset tracking with assignment history</w:t>
            </w:r>
          </w:p>
        </w:tc>
      </w:tr>
      <w:tr>
        <w:tc>
          <w:tcPr>
            <w:tcW w:type="dxa" w:w="4680"/>
          </w:tcPr>
          <w:p>
            <w:pPr>
              <w:spacing w:before="20" w:after="20"/>
            </w:pPr>
            <w:r>
              <w:rPr>
                <w:sz w:val="18"/>
              </w:rPr>
              <w:t>Delegation Management</w:t>
            </w:r>
          </w:p>
        </w:tc>
        <w:tc>
          <w:tcPr>
            <w:tcW w:type="dxa" w:w="4680"/>
          </w:tcPr>
          <w:p>
            <w:pPr>
              <w:spacing w:before="20" w:after="20"/>
            </w:pPr>
            <w:r>
              <w:rPr>
                <w:sz w:val="18"/>
              </w:rPr>
              <w:t>Authority delegation tracking between users</w:t>
            </w:r>
          </w:p>
        </w:tc>
      </w:tr>
      <w:tr>
        <w:tc>
          <w:tcPr>
            <w:tcW w:type="dxa" w:w="4680"/>
          </w:tcPr>
          <w:p>
            <w:pPr>
              <w:spacing w:before="20" w:after="20"/>
            </w:pPr>
            <w:r>
              <w:rPr>
                <w:sz w:val="18"/>
              </w:rPr>
              <w:t>Notification System</w:t>
            </w:r>
          </w:p>
        </w:tc>
        <w:tc>
          <w:tcPr>
            <w:tcW w:type="dxa" w:w="4680"/>
          </w:tcPr>
          <w:p>
            <w:pPr>
              <w:spacing w:before="20" w:after="20"/>
            </w:pPr>
            <w:r>
              <w:rPr>
                <w:sz w:val="18"/>
              </w:rPr>
              <w:t>In-app and email notifications with per-user preference configuration</w:t>
            </w:r>
          </w:p>
        </w:tc>
      </w:tr>
      <w:tr>
        <w:tc>
          <w:tcPr>
            <w:tcW w:type="dxa" w:w="4680"/>
          </w:tcPr>
          <w:p>
            <w:pPr>
              <w:spacing w:before="20" w:after="20"/>
            </w:pPr>
            <w:r>
              <w:rPr>
                <w:sz w:val="18"/>
              </w:rPr>
              <w:t>Saved Searches</w:t>
            </w:r>
          </w:p>
        </w:tc>
        <w:tc>
          <w:tcPr>
            <w:tcW w:type="dxa" w:w="4680"/>
          </w:tcPr>
          <w:p>
            <w:pPr>
              <w:spacing w:before="20" w:after="20"/>
            </w:pPr>
            <w:r>
              <w:rPr>
                <w:sz w:val="18"/>
              </w:rPr>
              <w:t>Persistent search criteria for rapid retrieval</w:t>
            </w:r>
          </w:p>
        </w:tc>
      </w:tr>
      <w:tr>
        <w:tc>
          <w:tcPr>
            <w:tcW w:type="dxa" w:w="4680"/>
          </w:tcPr>
          <w:p>
            <w:pPr>
              <w:spacing w:before="20" w:after="20"/>
            </w:pPr>
            <w:r>
              <w:rPr>
                <w:sz w:val="18"/>
              </w:rPr>
              <w:t>User Preferences</w:t>
            </w:r>
          </w:p>
        </w:tc>
        <w:tc>
          <w:tcPr>
            <w:tcW w:type="dxa" w:w="4680"/>
          </w:tcPr>
          <w:p>
            <w:pPr>
              <w:spacing w:before="20" w:after="20"/>
            </w:pPr>
            <w:r>
              <w:rPr>
                <w:sz w:val="18"/>
              </w:rPr>
              <w:t>Per-user customization including keyboard shortcuts</w:t>
            </w:r>
          </w:p>
        </w:tc>
      </w:tr>
      <w:tr>
        <w:tc>
          <w:tcPr>
            <w:tcW w:type="dxa" w:w="4680"/>
          </w:tcPr>
          <w:p>
            <w:pPr>
              <w:spacing w:before="20" w:after="20"/>
            </w:pPr>
            <w:r>
              <w:rPr>
                <w:sz w:val="18"/>
              </w:rPr>
              <w:t>Data Export</w:t>
            </w:r>
          </w:p>
        </w:tc>
        <w:tc>
          <w:tcPr>
            <w:tcW w:type="dxa" w:w="4680"/>
          </w:tcPr>
          <w:p>
            <w:pPr>
              <w:spacing w:before="20" w:after="20"/>
            </w:pPr>
            <w:r>
              <w:rPr>
                <w:sz w:val="18"/>
              </w:rPr>
              <w:t>Bulk export of cases, subjects, and documents in standard formats</w:t>
            </w:r>
          </w:p>
        </w:tc>
      </w:tr>
      <w:tr>
        <w:tc>
          <w:tcPr>
            <w:tcW w:type="dxa" w:w="4680"/>
          </w:tcPr>
          <w:p>
            <w:pPr>
              <w:spacing w:before="20" w:after="20"/>
            </w:pPr>
            <w:r>
              <w:rPr>
                <w:sz w:val="18"/>
              </w:rPr>
              <w:t>Audit Logging</w:t>
            </w:r>
          </w:p>
        </w:tc>
        <w:tc>
          <w:tcPr>
            <w:tcW w:type="dxa" w:w="4680"/>
          </w:tcPr>
          <w:p>
            <w:pPr>
              <w:spacing w:before="20" w:after="20"/>
            </w:pPr>
            <w:r>
              <w:rPr>
                <w:sz w:val="18"/>
              </w:rPr>
              <w:t>Immutable action-level audit trail for all system operations</w:t>
            </w:r>
          </w:p>
        </w:tc>
      </w:tr>
    </w:tbl>
    <w:p/>
    <w:p>
      <w:r>
        <w:t>____________________________________________________________</w:t>
      </w:r>
    </w:p>
    <w:p>
      <w:pPr>
        <w:pStyle w:val="Heading1"/>
      </w:pPr>
      <w:r>
        <w:t>3. Implementation Phases</w:t>
      </w:r>
    </w:p>
    <w:p>
      <w:pPr>
        <w:pStyle w:val="Heading2"/>
      </w:pPr>
      <w:r>
        <w:t>Phase 1: Infrastructure Setup (Weeks 1--2)</w:t>
      </w:r>
    </w:p>
    <w:p>
      <w:pPr>
        <w:spacing w:after="80"/>
      </w:pPr>
      <w:r>
        <w:t>Objective: Establish the production hosting environment with all required infrastructure services provisioned, configured, and validated.</w:t>
      </w:r>
    </w:p>
    <w:p>
      <w:pPr>
        <w:spacing w:after="80"/>
      </w:pPr>
      <w:r>
        <w:t>Activities:</w:t>
      </w:r>
    </w:p>
    <w:p>
      <w:pPr>
        <w:pStyle w:val="ListNumber"/>
        <w:spacing w:before="20" w:after="20"/>
      </w:pPr>
      <w:r>
        <w:t>Docker Environment Deployment</w:t>
      </w:r>
    </w:p>
    <w:p>
      <w:pPr>
        <w:pStyle w:val="ListBullet"/>
        <w:spacing w:before="20" w:after="20"/>
      </w:pPr>
      <w:r>
        <w:t>Provision production server(s) meeting minimum hardware specifications (see Section 8.2).</w:t>
      </w:r>
    </w:p>
    <w:p>
      <w:pPr>
        <w:pStyle w:val="ListBullet"/>
        <w:spacing w:before="20" w:after="20"/>
      </w:pPr>
      <w:r>
        <w:t>Install Docker Engine and Docker Compose on production host(s).</w:t>
      </w:r>
    </w:p>
    <w:p>
      <w:pPr>
        <w:pStyle w:val="ListBullet"/>
        <w:spacing w:before="20" w:after="20"/>
      </w:pPr>
      <w:r>
        <w:t>Configure container networking, volume mounts, and resource limits.</w:t>
      </w:r>
    </w:p>
    <w:p>
      <w:pPr>
        <w:pStyle w:val="ListBullet"/>
        <w:spacing w:before="20" w:after="20"/>
      </w:pPr>
      <w:r>
        <w:t>Validate container orchestration with health checks.</w:t>
      </w:r>
    </w:p>
    <w:p>
      <w:pPr>
        <w:pStyle w:val="ListNumber"/>
        <w:spacing w:before="20" w:after="20"/>
      </w:pPr>
      <w:r>
        <w:t>PostgreSQL Database Provisioning</w:t>
      </w:r>
    </w:p>
    <w:p>
      <w:pPr>
        <w:pStyle w:val="ListBullet"/>
        <w:spacing w:before="20" w:after="20"/>
      </w:pPr>
      <w:r>
        <w:t>Deploy PostgreSQL 16 Alpine container with persistent volume storage.</w:t>
      </w:r>
    </w:p>
    <w:p>
      <w:pPr>
        <w:pStyle w:val="ListBullet"/>
        <w:spacing w:before="20" w:after="20"/>
      </w:pPr>
      <w:r>
        <w:t>Configure database users, roles, and connection pooling parameters.</w:t>
      </w:r>
    </w:p>
    <w:p>
      <w:pPr>
        <w:pStyle w:val="ListBullet"/>
        <w:spacing w:before="20" w:after="20"/>
      </w:pPr>
      <w:r>
        <w:t>Establish automated backup schedules (daily full, hourly incremental).</w:t>
      </w:r>
    </w:p>
    <w:p>
      <w:pPr>
        <w:pStyle w:val="ListBullet"/>
        <w:spacing w:before="20" w:after="20"/>
      </w:pPr>
      <w:r>
        <w:t>Validate connectivity from application containers.</w:t>
      </w:r>
    </w:p>
    <w:p>
      <w:pPr>
        <w:pStyle w:val="ListNumber"/>
        <w:spacing w:before="20" w:after="20"/>
      </w:pPr>
      <w:r>
        <w:t>MeiliSearch Setup</w:t>
      </w:r>
    </w:p>
    <w:p>
      <w:pPr>
        <w:pStyle w:val="ListBullet"/>
        <w:spacing w:before="20" w:after="20"/>
      </w:pPr>
      <w:r>
        <w:t>Deploy MeiliSearch v1.6 container with persistent index storage.</w:t>
      </w:r>
    </w:p>
    <w:p>
      <w:pPr>
        <w:pStyle w:val="ListBullet"/>
        <w:spacing w:before="20" w:after="20"/>
      </w:pPr>
      <w:r>
        <w:t>Configure master key and API key rotation schedule.</w:t>
      </w:r>
    </w:p>
    <w:p>
      <w:pPr>
        <w:pStyle w:val="ListBullet"/>
        <w:spacing w:before="20" w:after="20"/>
      </w:pPr>
      <w:r>
        <w:t>Establish index configuration for case, subject, and document search.</w:t>
      </w:r>
    </w:p>
    <w:p>
      <w:pPr>
        <w:pStyle w:val="ListBullet"/>
        <w:spacing w:before="20" w:after="20"/>
      </w:pPr>
      <w:r>
        <w:t>Validate search endpoint availability.</w:t>
      </w:r>
    </w:p>
    <w:p>
      <w:pPr>
        <w:pStyle w:val="ListNumber"/>
        <w:spacing w:before="20" w:after="20"/>
      </w:pPr>
      <w:r>
        <w:t>MinIO Object Storage Setup</w:t>
      </w:r>
    </w:p>
    <w:p>
      <w:pPr>
        <w:pStyle w:val="ListBullet"/>
        <w:spacing w:before="20" w:after="20"/>
      </w:pPr>
      <w:r>
        <w:t>Deploy MinIO container with persistent data volume.</w:t>
      </w:r>
    </w:p>
    <w:p>
      <w:pPr>
        <w:pStyle w:val="ListBullet"/>
        <w:spacing w:before="20" w:after="20"/>
      </w:pPr>
      <w:r>
        <w:t>Configure access policies, bucket structure, and retention policies.</w:t>
      </w:r>
    </w:p>
    <w:p>
      <w:pPr>
        <w:pStyle w:val="ListBullet"/>
        <w:spacing w:before="20" w:after="20"/>
      </w:pPr>
      <w:r>
        <w:t>Establish bucket naming conventions (e.g., oig-its-documents, oig-its-evidence).</w:t>
      </w:r>
    </w:p>
    <w:p>
      <w:pPr>
        <w:pStyle w:val="ListBullet"/>
        <w:spacing w:before="20" w:after="20"/>
      </w:pPr>
      <w:r>
        <w:t>Validate S3-compatible API connectivity.</w:t>
      </w:r>
    </w:p>
    <w:p>
      <w:pPr>
        <w:pStyle w:val="ListNumber"/>
        <w:spacing w:before="20" w:after="20"/>
      </w:pPr>
      <w:r>
        <w:t>Redis Setup</w:t>
      </w:r>
    </w:p>
    <w:p>
      <w:pPr>
        <w:pStyle w:val="ListBullet"/>
        <w:spacing w:before="20" w:after="20"/>
      </w:pPr>
      <w:r>
        <w:t>Deploy Redis 7 Alpine container for session management and job queue support.</w:t>
      </w:r>
    </w:p>
    <w:p>
      <w:pPr>
        <w:pStyle w:val="ListBullet"/>
        <w:spacing w:before="20" w:after="20"/>
      </w:pPr>
      <w:r>
        <w:t>Configure persistence (AOF) and memory limits.</w:t>
      </w:r>
    </w:p>
    <w:p>
      <w:pPr>
        <w:pStyle w:val="ListBullet"/>
        <w:spacing w:before="20" w:after="20"/>
      </w:pPr>
      <w:r>
        <w:t>Validate BullMQ connectivity for background job processing.</w:t>
      </w:r>
    </w:p>
    <w:p>
      <w:pPr>
        <w:pStyle w:val="ListNumber"/>
        <w:spacing w:before="20" w:after="20"/>
      </w:pPr>
      <w:r>
        <w:t>SSL/TLS Certificates</w:t>
      </w:r>
    </w:p>
    <w:p>
      <w:pPr>
        <w:pStyle w:val="ListBullet"/>
        <w:spacing w:before="20" w:after="20"/>
      </w:pPr>
      <w:r>
        <w:t>Obtain and install agency-approved SSL/TLS certificates.</w:t>
      </w:r>
    </w:p>
    <w:p>
      <w:pPr>
        <w:pStyle w:val="ListBullet"/>
        <w:spacing w:before="20" w:after="20"/>
      </w:pPr>
      <w:r>
        <w:t>Configure TLS termination at the reverse proxy layer.</w:t>
      </w:r>
    </w:p>
    <w:p>
      <w:pPr>
        <w:pStyle w:val="ListBullet"/>
        <w:spacing w:before="20" w:after="20"/>
      </w:pPr>
      <w:r>
        <w:t>Validate certificate chain integrity and expiration monitoring.</w:t>
      </w:r>
    </w:p>
    <w:p>
      <w:pPr>
        <w:pStyle w:val="ListNumber"/>
        <w:spacing w:before="20" w:after="20"/>
      </w:pPr>
      <w:r>
        <w:t>Network Configuration</w:t>
      </w:r>
    </w:p>
    <w:p>
      <w:pPr>
        <w:pStyle w:val="ListBullet"/>
        <w:spacing w:before="20" w:after="20"/>
      </w:pPr>
      <w:r>
        <w:t>Configure firewall rules per agency security requirements.</w:t>
      </w:r>
    </w:p>
    <w:p>
      <w:pPr>
        <w:pStyle w:val="ListBullet"/>
        <w:spacing w:before="20" w:after="20"/>
      </w:pPr>
      <w:r>
        <w:t>Establish network segmentation between application, database, and storage tiers.</w:t>
      </w:r>
    </w:p>
    <w:p>
      <w:pPr>
        <w:pStyle w:val="ListBullet"/>
        <w:spacing w:before="20" w:after="20"/>
      </w:pPr>
      <w:r>
        <w:t>Configure DNS entries for production URL.</w:t>
      </w:r>
    </w:p>
    <w:p>
      <w:pPr>
        <w:pStyle w:val="ListBullet"/>
        <w:spacing w:before="20" w:after="20"/>
      </w:pPr>
      <w:r>
        <w:t>Validate network connectivity across all service components.</w:t>
      </w:r>
    </w:p>
    <w:p>
      <w:pPr>
        <w:spacing w:after="80"/>
      </w:pPr>
      <w:r>
        <w:t>Exit Criteria: All infrastructure services are operational, monitored, and passing health checks. Infrastructure readiness sign-off obtained from the CIO and ISSO.</w:t>
      </w:r>
    </w:p>
    <w:p>
      <w:r>
        <w:t>____________________________________________________________</w:t>
      </w:r>
    </w:p>
    <w:p>
      <w:pPr>
        <w:pStyle w:val="Heading2"/>
      </w:pPr>
      <w:r>
        <w:t>Phase 2: Core Application Deployment (Weeks 3--4)</w:t>
      </w:r>
    </w:p>
    <w:p>
      <w:pPr>
        <w:spacing w:after="80"/>
      </w:pPr>
      <w:r>
        <w:t>Objective: Deploy the OIG-ITS application, execute database migrations, seed reference data, and configure role-based access controls.</w:t>
      </w:r>
    </w:p>
    <w:p>
      <w:pPr>
        <w:spacing w:after="80"/>
      </w:pPr>
      <w:r>
        <w:t>Activities:</w:t>
      </w:r>
    </w:p>
    <w:p>
      <w:pPr>
        <w:pStyle w:val="ListNumber"/>
        <w:spacing w:before="20" w:after="20"/>
      </w:pPr>
      <w:r>
        <w:t>Application Build and Deployment</w:t>
      </w:r>
    </w:p>
    <w:p>
      <w:pPr>
        <w:pStyle w:val="ListBullet"/>
        <w:spacing w:before="20" w:after="20"/>
      </w:pPr>
      <w:r>
        <w:t>Execute production build (next build) with production environment variables.</w:t>
      </w:r>
    </w:p>
    <w:p>
      <w:pPr>
        <w:pStyle w:val="ListBullet"/>
        <w:spacing w:before="20" w:after="20"/>
      </w:pPr>
      <w:r>
        <w:t>Deploy application container with appropriate resource allocations.</w:t>
      </w:r>
    </w:p>
    <w:p>
      <w:pPr>
        <w:pStyle w:val="ListBullet"/>
        <w:spacing w:before="20" w:after="20"/>
      </w:pPr>
      <w:r>
        <w:t>Configure reverse proxy (nginx/Apache) with SSL termination.</w:t>
      </w:r>
    </w:p>
    <w:p>
      <w:pPr>
        <w:pStyle w:val="ListBullet"/>
        <w:spacing w:before="20" w:after="20"/>
      </w:pPr>
      <w:r>
        <w:t>Validate application startup and endpoint availability.</w:t>
      </w:r>
    </w:p>
    <w:p>
      <w:pPr>
        <w:pStyle w:val="ListNumber"/>
        <w:spacing w:before="20" w:after="20"/>
      </w:pPr>
      <w:r>
        <w:t>Database Migration Execution</w:t>
      </w:r>
    </w:p>
    <w:p>
      <w:pPr>
        <w:pStyle w:val="ListBullet"/>
        <w:spacing w:before="20" w:after="20"/>
      </w:pPr>
      <w:r>
        <w:t>Execute Prisma migrations against the production database (20 migration files).</w:t>
      </w:r>
    </w:p>
    <w:p>
      <w:pPr>
        <w:pStyle w:val="ListBullet"/>
        <w:spacing w:before="20" w:after="20"/>
      </w:pPr>
      <w:r>
        <w:t>Validate schema integrity across all 53 models.</w:t>
      </w:r>
    </w:p>
    <w:p>
      <w:pPr>
        <w:pStyle w:val="ListBullet"/>
        <w:spacing w:before="20" w:after="20"/>
      </w:pPr>
      <w:r>
        <w:t>Confirm index creation for performance-critical queries.</w:t>
      </w:r>
    </w:p>
    <w:p>
      <w:pPr>
        <w:pStyle w:val="ListBullet"/>
        <w:spacing w:before="20" w:after="20"/>
      </w:pPr>
      <w:r>
        <w:t>Document migration execution log for audit purposes.</w:t>
      </w:r>
    </w:p>
    <w:p>
      <w:pPr>
        <w:pStyle w:val="ListNumber"/>
        <w:spacing w:before="20" w:after="20"/>
      </w:pPr>
      <w:r>
        <w:t>Initial Data Seeding</w:t>
      </w:r>
    </w:p>
    <w:p>
      <w:pPr>
        <w:pStyle w:val="ListBullet"/>
        <w:spacing w:before="20" w:after="20"/>
      </w:pPr>
      <w:r>
        <w:t>Seed reference data tables (case types, priorities, statuses, violation codes).</w:t>
      </w:r>
    </w:p>
    <w:p>
      <w:pPr>
        <w:pStyle w:val="ListBullet"/>
        <w:spacing w:before="20" w:after="20"/>
      </w:pPr>
      <w:r>
        <w:t>Populate system settings with agency-specific configuration values.</w:t>
      </w:r>
    </w:p>
    <w:p>
      <w:pPr>
        <w:pStyle w:val="ListBullet"/>
        <w:spacing w:before="20" w:after="20"/>
      </w:pPr>
      <w:r>
        <w:t>Load feature flag defaults.</w:t>
      </w:r>
    </w:p>
    <w:p>
      <w:pPr>
        <w:pStyle w:val="ListBullet"/>
        <w:spacing w:before="20" w:after="20"/>
      </w:pPr>
      <w:r>
        <w:t>Configure default report definitions and schedules.</w:t>
      </w:r>
    </w:p>
    <w:p>
      <w:pPr>
        <w:pStyle w:val="ListNumber"/>
        <w:spacing w:before="20" w:after="20"/>
      </w:pPr>
      <w:r>
        <w:t>RBAC Role Configuration</w:t>
      </w:r>
    </w:p>
    <w:p>
      <w:pPr>
        <w:pStyle w:val="ListBullet"/>
        <w:spacing w:before="20" w:after="20"/>
      </w:pPr>
      <w:r>
        <w:t>Configure the six user roles (Admin, Investigator, Supervisor, Analyst, Auditor, Read-Only) with appropriate permission matrices.</w:t>
      </w:r>
    </w:p>
    <w:p>
      <w:pPr>
        <w:pStyle w:val="ListBullet"/>
        <w:spacing w:before="20" w:after="20"/>
      </w:pPr>
      <w:r>
        <w:t>Validate role-based endpoint restrictions across all 96 API routes.</w:t>
      </w:r>
    </w:p>
    <w:p>
      <w:pPr>
        <w:pStyle w:val="ListBullet"/>
        <w:spacing w:before="20" w:after="20"/>
      </w:pPr>
      <w:r>
        <w:t>Document role-permission mapping for security accreditation package.</w:t>
      </w:r>
    </w:p>
    <w:p>
      <w:pPr>
        <w:pStyle w:val="ListNumber"/>
        <w:spacing w:before="20" w:after="20"/>
      </w:pPr>
      <w:r>
        <w:t>User Account Provisioning</w:t>
      </w:r>
    </w:p>
    <w:p>
      <w:pPr>
        <w:pStyle w:val="ListBullet"/>
        <w:spacing w:before="20" w:after="20"/>
      </w:pPr>
      <w:r>
        <w:t>Create administrator accounts for IT staff.</w:t>
      </w:r>
    </w:p>
    <w:p>
      <w:pPr>
        <w:pStyle w:val="ListBullet"/>
        <w:spacing w:before="20" w:after="20"/>
      </w:pPr>
      <w:r>
        <w:t>Provision initial user accounts per organizational roster.</w:t>
      </w:r>
    </w:p>
    <w:p>
      <w:pPr>
        <w:pStyle w:val="ListBullet"/>
        <w:spacing w:before="20" w:after="20"/>
      </w:pPr>
      <w:r>
        <w:t>Configure password policies (minimum length, complexity, expiration).</w:t>
      </w:r>
    </w:p>
    <w:p>
      <w:pPr>
        <w:pStyle w:val="ListBullet"/>
        <w:spacing w:before="20" w:after="20"/>
      </w:pPr>
      <w:r>
        <w:t>Validate account lockout mechanisms (failed login attempt thresholds).</w:t>
      </w:r>
    </w:p>
    <w:p>
      <w:pPr>
        <w:spacing w:after="80"/>
      </w:pPr>
      <w:r>
        <w:t>Exit Criteria: Application is deployed, all migrations are successful, RBAC is validated, and administrator accounts are functional. Application readiness sign-off obtained.</w:t>
      </w:r>
    </w:p>
    <w:p>
      <w:r>
        <w:t>____________________________________________________________</w:t>
      </w:r>
    </w:p>
    <w:p>
      <w:pPr>
        <w:pStyle w:val="Heading2"/>
      </w:pPr>
      <w:r>
        <w:t>Phase 3: Data Migration (Weeks 5--8)</w:t>
      </w:r>
    </w:p>
    <w:p>
      <w:pPr>
        <w:spacing w:after="80"/>
      </w:pPr>
      <w:r>
        <w:t>Objective: Migrate all relevant data from legacy systems into OIG-ITS with full validation and reconciliation.</w:t>
      </w:r>
    </w:p>
    <w:p>
      <w:pPr>
        <w:spacing w:after="80"/>
      </w:pPr>
      <w:r>
        <w:t>Activities:</w:t>
      </w:r>
    </w:p>
    <w:p>
      <w:pPr>
        <w:pStyle w:val="ListNumber"/>
        <w:spacing w:before="20" w:after="20"/>
      </w:pPr>
      <w:r>
        <w:t>Legacy Data Assessment (Week 5)</w:t>
      </w:r>
    </w:p>
    <w:p>
      <w:pPr>
        <w:pStyle w:val="ListBullet"/>
        <w:spacing w:before="20" w:after="20"/>
      </w:pPr>
      <w:r>
        <w:t>Inventory all legacy data sources (spreadsheets, databases, file shares, email archives).</w:t>
      </w:r>
    </w:p>
    <w:p>
      <w:pPr>
        <w:pStyle w:val="ListBullet"/>
        <w:spacing w:before="20" w:after="20"/>
      </w:pPr>
      <w:r>
        <w:t>Assess data quality, completeness, and format consistency.</w:t>
      </w:r>
    </w:p>
    <w:p>
      <w:pPr>
        <w:pStyle w:val="ListBullet"/>
        <w:spacing w:before="20" w:after="20"/>
      </w:pPr>
      <w:r>
        <w:t>Identify data cleansing requirements and transformation rules.</w:t>
      </w:r>
    </w:p>
    <w:p>
      <w:pPr>
        <w:pStyle w:val="ListBullet"/>
        <w:spacing w:before="20" w:after="20"/>
      </w:pPr>
      <w:r>
        <w:t>Document data volumes and estimated migration duration.</w:t>
      </w:r>
    </w:p>
    <w:p>
      <w:pPr>
        <w:pStyle w:val="ListNumber"/>
        <w:spacing w:before="20" w:after="20"/>
      </w:pPr>
      <w:r>
        <w:t>Field Mapping Document (Week 5)</w:t>
      </w:r>
    </w:p>
    <w:p>
      <w:pPr>
        <w:pStyle w:val="ListBullet"/>
        <w:spacing w:before="20" w:after="20"/>
      </w:pPr>
      <w:r>
        <w:t>Create detailed field-level mapping from legacy data structures to OIG-ITS Prisma models.</w:t>
      </w:r>
    </w:p>
    <w:p>
      <w:pPr>
        <w:pStyle w:val="ListBullet"/>
        <w:spacing w:before="20" w:after="20"/>
      </w:pPr>
      <w:r>
        <w:t>Document data type conversions, default values, and validation rules.</w:t>
      </w:r>
    </w:p>
    <w:p>
      <w:pPr>
        <w:pStyle w:val="ListBullet"/>
        <w:spacing w:before="20" w:after="20"/>
      </w:pPr>
      <w:r>
        <w:t>Identify fields requiring manual review or enrichment.</w:t>
      </w:r>
    </w:p>
    <w:p>
      <w:pPr>
        <w:pStyle w:val="ListBullet"/>
        <w:spacing w:before="20" w:after="20"/>
      </w:pPr>
      <w:r>
        <w:t>Obtain business owner approval of mapping document.</w:t>
      </w:r>
    </w:p>
    <w:p>
      <w:pPr>
        <w:pStyle w:val="ListNumber"/>
        <w:spacing w:before="20" w:after="20"/>
      </w:pPr>
      <w:r>
        <w:t>Migration Scripts Development (Week 6)</w:t>
      </w:r>
    </w:p>
    <w:p>
      <w:pPr>
        <w:pStyle w:val="ListBullet"/>
        <w:spacing w:before="20" w:after="20"/>
      </w:pPr>
      <w:r>
        <w:t>Develop automated migration scripts for each entity type.</w:t>
      </w:r>
    </w:p>
    <w:p>
      <w:pPr>
        <w:pStyle w:val="ListBullet"/>
        <w:spacing w:before="20" w:after="20"/>
      </w:pPr>
      <w:r>
        <w:t>Implement data transformation and cleansing logic.</w:t>
      </w:r>
    </w:p>
    <w:p>
      <w:pPr>
        <w:pStyle w:val="ListBullet"/>
        <w:spacing w:before="20" w:after="20"/>
      </w:pPr>
      <w:r>
        <w:t>Build validation checks into the migration pipeline.</w:t>
      </w:r>
    </w:p>
    <w:p>
      <w:pPr>
        <w:pStyle w:val="ListBullet"/>
        <w:spacing w:before="20" w:after="20"/>
      </w:pPr>
      <w:r>
        <w:t>Develop bulk document upload scripts using the /api/import/cases and /api/import/documents endpoints.</w:t>
      </w:r>
    </w:p>
    <w:p>
      <w:pPr>
        <w:pStyle w:val="ListNumber"/>
        <w:spacing w:before="20" w:after="20"/>
      </w:pPr>
      <w:r>
        <w:t>Test Migration Execution (Week 6--7)</w:t>
      </w:r>
    </w:p>
    <w:p>
      <w:pPr>
        <w:pStyle w:val="ListBullet"/>
        <w:spacing w:before="20" w:after="20"/>
      </w:pPr>
      <w:r>
        <w:t>Execute migration against a staging environment with production-equivalent data.</w:t>
      </w:r>
    </w:p>
    <w:p>
      <w:pPr>
        <w:pStyle w:val="ListBullet"/>
        <w:spacing w:before="20" w:after="20"/>
      </w:pPr>
      <w:r>
        <w:t>Validate record counts, field mappings, and referential integrity.</w:t>
      </w:r>
    </w:p>
    <w:p>
      <w:pPr>
        <w:pStyle w:val="ListBullet"/>
        <w:spacing w:before="20" w:after="20"/>
      </w:pPr>
      <w:r>
        <w:t>Conduct user verification of migrated data for accuracy.</w:t>
      </w:r>
    </w:p>
    <w:p>
      <w:pPr>
        <w:pStyle w:val="ListBullet"/>
        <w:spacing w:before="20" w:after="20"/>
      </w:pPr>
      <w:r>
        <w:t>Document discrepancies and corrective actions.</w:t>
      </w:r>
    </w:p>
    <w:p>
      <w:pPr>
        <w:pStyle w:val="ListNumber"/>
        <w:spacing w:before="20" w:after="20"/>
      </w:pPr>
      <w:r>
        <w:t>Data Validation and Reconciliation (Week 7)</w:t>
      </w:r>
    </w:p>
    <w:p>
      <w:pPr>
        <w:pStyle w:val="ListBullet"/>
        <w:spacing w:before="20" w:after="20"/>
      </w:pPr>
      <w:r>
        <w:t>Perform automated reconciliation of record counts between source and target.</w:t>
      </w:r>
    </w:p>
    <w:p>
      <w:pPr>
        <w:pStyle w:val="ListBullet"/>
        <w:spacing w:before="20" w:after="20"/>
      </w:pPr>
      <w:r>
        <w:t>Validate referential integrity across all foreign key relationships.</w:t>
      </w:r>
    </w:p>
    <w:p>
      <w:pPr>
        <w:pStyle w:val="ListBullet"/>
        <w:spacing w:before="20" w:after="20"/>
      </w:pPr>
      <w:r>
        <w:t>Spot-check individual records across all entity types.</w:t>
      </w:r>
    </w:p>
    <w:p>
      <w:pPr>
        <w:pStyle w:val="ListBullet"/>
        <w:spacing w:before="20" w:after="20"/>
      </w:pPr>
      <w:r>
        <w:t>Generate and archive reconciliation reports.</w:t>
      </w:r>
    </w:p>
    <w:p>
      <w:pPr>
        <w:pStyle w:val="ListNumber"/>
        <w:spacing w:before="20" w:after="20"/>
      </w:pPr>
      <w:r>
        <w:t>Production Migration (Week 8)</w:t>
      </w:r>
    </w:p>
    <w:p>
      <w:pPr>
        <w:pStyle w:val="ListBullet"/>
        <w:spacing w:before="20" w:after="20"/>
      </w:pPr>
      <w:r>
        <w:t>Execute production migration during scheduled maintenance window.</w:t>
      </w:r>
    </w:p>
    <w:p>
      <w:pPr>
        <w:pStyle w:val="ListBullet"/>
        <w:spacing w:before="20" w:after="20"/>
      </w:pPr>
      <w:r>
        <w:t>Verify migration success criteria.</w:t>
      </w:r>
    </w:p>
    <w:p>
      <w:pPr>
        <w:pStyle w:val="ListBullet"/>
        <w:spacing w:before="20" w:after="20"/>
      </w:pPr>
      <w:r>
        <w:t>Re-index MeiliSearch with migrated data.</w:t>
      </w:r>
    </w:p>
    <w:p>
      <w:pPr>
        <w:pStyle w:val="ListBullet"/>
        <w:spacing w:before="20" w:after="20"/>
      </w:pPr>
      <w:r>
        <w:t>Validate document and evidence file accessibility in MinIO.</w:t>
      </w:r>
    </w:p>
    <w:p>
      <w:pPr>
        <w:pStyle w:val="ListNumber"/>
        <w:spacing w:before="20" w:after="20"/>
      </w:pPr>
      <w:r>
        <w:t>Rollback Plan</w:t>
      </w:r>
    </w:p>
    <w:p>
      <w:pPr>
        <w:pStyle w:val="ListBullet"/>
        <w:spacing w:before="20" w:after="20"/>
      </w:pPr>
      <w:r>
        <w:t>Maintain pre-migration database snapshot for 30 days.</w:t>
      </w:r>
    </w:p>
    <w:p>
      <w:pPr>
        <w:pStyle w:val="ListBullet"/>
        <w:spacing w:before="20" w:after="20"/>
      </w:pPr>
      <w:r>
        <w:t>Document step-by-step rollback procedures.</w:t>
      </w:r>
    </w:p>
    <w:p>
      <w:pPr>
        <w:pStyle w:val="ListBullet"/>
        <w:spacing w:before="20" w:after="20"/>
      </w:pPr>
      <w:r>
        <w:t>Establish rollback decision criteria and authorization chain.</w:t>
      </w:r>
    </w:p>
    <w:p>
      <w:pPr>
        <w:pStyle w:val="ListBullet"/>
        <w:spacing w:before="20" w:after="20"/>
      </w:pPr>
      <w:r>
        <w:t>Test rollback procedure in staging environment prior to production migration.</w:t>
      </w:r>
    </w:p>
    <w:p>
      <w:pPr>
        <w:spacing w:after="80"/>
      </w:pPr>
      <w:r>
        <w:t>Exit Criteria: All legacy data is migrated, validated, and reconciled. Migration completion sign-off obtained from business owners.</w:t>
      </w:r>
    </w:p>
    <w:p>
      <w:r>
        <w:t>____________________________________________________________</w:t>
      </w:r>
    </w:p>
    <w:p>
      <w:pPr>
        <w:pStyle w:val="Heading2"/>
      </w:pPr>
      <w:r>
        <w:t>Phase 4: Integration and Testing (Weeks 9--12)</w:t>
      </w:r>
    </w:p>
    <w:p>
      <w:pPr>
        <w:spacing w:after="80"/>
      </w:pPr>
      <w:r>
        <w:t>Objective: Validate all system integrations, conduct comprehensive security and performance testing, and obtain user acceptance.</w:t>
      </w:r>
    </w:p>
    <w:p>
      <w:pPr>
        <w:spacing w:after="80"/>
      </w:pPr>
      <w:r>
        <w:t>Activities:</w:t>
      </w:r>
    </w:p>
    <w:p>
      <w:pPr>
        <w:pStyle w:val="ListNumber"/>
        <w:spacing w:before="20" w:after="20"/>
      </w:pPr>
      <w:r>
        <w:t>MeiliSearch Index Synchronization (Week 9)</w:t>
      </w:r>
    </w:p>
    <w:p>
      <w:pPr>
        <w:pStyle w:val="ListBullet"/>
        <w:spacing w:before="20" w:after="20"/>
      </w:pPr>
      <w:r>
        <w:t>Validate search index synchronization with PostgreSQL data.</w:t>
      </w:r>
    </w:p>
    <w:p>
      <w:pPr>
        <w:pStyle w:val="ListBullet"/>
        <w:spacing w:before="20" w:after="20"/>
      </w:pPr>
      <w:r>
        <w:t>Test search accuracy across cases, subjects, and documents.</w:t>
      </w:r>
    </w:p>
    <w:p>
      <w:pPr>
        <w:pStyle w:val="ListBullet"/>
        <w:spacing w:before="20" w:after="20"/>
      </w:pPr>
      <w:r>
        <w:t>Verify incremental index updates on data changes.</w:t>
      </w:r>
    </w:p>
    <w:p>
      <w:pPr>
        <w:pStyle w:val="ListBullet"/>
        <w:spacing w:before="20" w:after="20"/>
      </w:pPr>
      <w:r>
        <w:t>Load-test search performance under concurrent user scenarios.</w:t>
      </w:r>
    </w:p>
    <w:p>
      <w:pPr>
        <w:pStyle w:val="ListNumber"/>
        <w:spacing w:before="20" w:after="20"/>
      </w:pPr>
      <w:r>
        <w:t>Email Notification Testing (Week 9)</w:t>
      </w:r>
    </w:p>
    <w:p>
      <w:pPr>
        <w:pStyle w:val="ListBullet"/>
        <w:spacing w:before="20" w:after="20"/>
      </w:pPr>
      <w:r>
        <w:t>Validate SMTP configuration with agency mail server.</w:t>
      </w:r>
    </w:p>
    <w:p>
      <w:pPr>
        <w:pStyle w:val="ListBullet"/>
        <w:spacing w:before="20" w:after="20"/>
      </w:pPr>
      <w:r>
        <w:t>Test all notification types (case assigned, task due, document uploaded, etc.).</w:t>
      </w:r>
    </w:p>
    <w:p>
      <w:pPr>
        <w:pStyle w:val="ListBullet"/>
        <w:spacing w:before="20" w:after="20"/>
      </w:pPr>
      <w:r>
        <w:t>Verify notification preference controls function correctly.</w:t>
      </w:r>
    </w:p>
    <w:p>
      <w:pPr>
        <w:pStyle w:val="ListBullet"/>
        <w:spacing w:before="20" w:after="20"/>
      </w:pPr>
      <w:r>
        <w:t>Confirm email delivery reliability and formatting.</w:t>
      </w:r>
    </w:p>
    <w:p>
      <w:pPr>
        <w:pStyle w:val="ListNumber"/>
        <w:spacing w:before="20" w:after="20"/>
      </w:pPr>
      <w:r>
        <w:t>File Storage Validation (Week 9)</w:t>
      </w:r>
    </w:p>
    <w:p>
      <w:pPr>
        <w:pStyle w:val="ListBullet"/>
        <w:spacing w:before="20" w:after="20"/>
      </w:pPr>
      <w:r>
        <w:t>Validate document upload, download, and deletion workflows.</w:t>
      </w:r>
    </w:p>
    <w:p>
      <w:pPr>
        <w:pStyle w:val="ListBullet"/>
        <w:spacing w:before="20" w:after="20"/>
      </w:pPr>
      <w:r>
        <w:t>Test document versioning and retention policy enforcement.</w:t>
      </w:r>
    </w:p>
    <w:p>
      <w:pPr>
        <w:pStyle w:val="ListBullet"/>
        <w:spacing w:before="20" w:after="20"/>
      </w:pPr>
      <w:r>
        <w:t>Verify evidence file chain-of-custody tracking.</w:t>
      </w:r>
    </w:p>
    <w:p>
      <w:pPr>
        <w:pStyle w:val="ListBullet"/>
        <w:spacing w:before="20" w:after="20"/>
      </w:pPr>
      <w:r>
        <w:t>Test bulk document download (ZIP archive) functionality.</w:t>
      </w:r>
    </w:p>
    <w:p>
      <w:pPr>
        <w:pStyle w:val="ListNumber"/>
        <w:spacing w:before="20" w:after="20"/>
      </w:pPr>
      <w:r>
        <w:t>Security Testing (Weeks 10--11)</w:t>
      </w:r>
    </w:p>
    <w:p>
      <w:pPr>
        <w:pStyle w:val="ListBullet"/>
        <w:spacing w:before="20" w:after="20"/>
      </w:pPr>
      <w:r>
        <w:t>Conduct penetration testing by an independent security assessor.</w:t>
      </w:r>
    </w:p>
    <w:p>
      <w:pPr>
        <w:pStyle w:val="ListBullet"/>
        <w:spacing w:before="20" w:after="20"/>
      </w:pPr>
      <w:r>
        <w:t>Validate RBAC enforcement across all 96 API endpoints.</w:t>
      </w:r>
    </w:p>
    <w:p>
      <w:pPr>
        <w:pStyle w:val="ListBullet"/>
        <w:spacing w:before="20" w:after="20"/>
      </w:pPr>
      <w:r>
        <w:t>Test account lockout, session management, and password reset flows.</w:t>
      </w:r>
    </w:p>
    <w:p>
      <w:pPr>
        <w:pStyle w:val="ListBullet"/>
        <w:spacing w:before="20" w:after="20"/>
      </w:pPr>
      <w:r>
        <w:t>Verify audit log completeness for all security-relevant actions.</w:t>
      </w:r>
    </w:p>
    <w:p>
      <w:pPr>
        <w:pStyle w:val="ListBullet"/>
        <w:spacing w:before="20" w:after="20"/>
      </w:pPr>
      <w:r>
        <w:t>Test input validation and protection against injection attacks.</w:t>
      </w:r>
    </w:p>
    <w:p>
      <w:pPr>
        <w:pStyle w:val="ListBullet"/>
        <w:spacing w:before="20" w:after="20"/>
      </w:pPr>
      <w:r>
        <w:t>Validate CSRF, XSS, and SSRF protections.</w:t>
      </w:r>
    </w:p>
    <w:p>
      <w:pPr>
        <w:pStyle w:val="ListNumber"/>
        <w:spacing w:before="20" w:after="20"/>
      </w:pPr>
      <w:r>
        <w:t>Performance Testing (Week 11)</w:t>
      </w:r>
    </w:p>
    <w:p>
      <w:pPr>
        <w:pStyle w:val="ListBullet"/>
        <w:spacing w:before="20" w:after="20"/>
      </w:pPr>
      <w:r>
        <w:t>Conduct load testing with 30+ concurrent simulated users.</w:t>
      </w:r>
    </w:p>
    <w:p>
      <w:pPr>
        <w:pStyle w:val="ListBullet"/>
        <w:spacing w:before="20" w:after="20"/>
      </w:pPr>
      <w:r>
        <w:t>Measure response times for critical operations (case creation, search, document upload).</w:t>
      </w:r>
    </w:p>
    <w:p>
      <w:pPr>
        <w:pStyle w:val="ListBullet"/>
        <w:spacing w:before="20" w:after="20"/>
      </w:pPr>
      <w:r>
        <w:t>Test database query performance under load with 53-model schema.</w:t>
      </w:r>
    </w:p>
    <w:p>
      <w:pPr>
        <w:pStyle w:val="ListBullet"/>
        <w:spacing w:before="20" w:after="20"/>
      </w:pPr>
      <w:r>
        <w:t>Validate background job processing throughput (BullMQ/Redis).</w:t>
      </w:r>
    </w:p>
    <w:p>
      <w:pPr>
        <w:pStyle w:val="ListBullet"/>
        <w:spacing w:before="20" w:after="20"/>
      </w:pPr>
      <w:r>
        <w:t>Identify and remediate performance bottlenecks.</w:t>
      </w:r>
    </w:p>
    <w:p>
      <w:pPr>
        <w:pStyle w:val="ListNumber"/>
        <w:spacing w:before="20" w:after="20"/>
      </w:pPr>
      <w:r>
        <w:t>User Acceptance Testing (Weeks 11--12)</w:t>
      </w:r>
    </w:p>
    <w:p>
      <w:pPr>
        <w:pStyle w:val="ListBullet"/>
        <w:spacing w:before="20" w:after="20"/>
      </w:pPr>
      <w:r>
        <w:t>Execute UAT test cases covering all 24 dashboard modules.</w:t>
      </w:r>
    </w:p>
    <w:p>
      <w:pPr>
        <w:pStyle w:val="ListBullet"/>
        <w:spacing w:before="20" w:after="20"/>
      </w:pPr>
      <w:r>
        <w:t>Validate end-to-end workflows (case intake through closure).</w:t>
      </w:r>
    </w:p>
    <w:p>
      <w:pPr>
        <w:pStyle w:val="ListBullet"/>
        <w:spacing w:before="20" w:after="20"/>
      </w:pPr>
      <w:r>
        <w:t>Test AI-powered features (risk scoring, similar cases, document classification).</w:t>
      </w:r>
    </w:p>
    <w:p>
      <w:pPr>
        <w:pStyle w:val="ListBullet"/>
        <w:spacing w:before="20" w:after="20"/>
      </w:pPr>
      <w:r>
        <w:t>Document UAT findings and prioritize defect remediation.</w:t>
      </w:r>
    </w:p>
    <w:p>
      <w:pPr>
        <w:pStyle w:val="ListBullet"/>
        <w:spacing w:before="20" w:after="20"/>
      </w:pPr>
      <w:r>
        <w:t>Obtain formal UAT sign-off from business owners.</w:t>
      </w:r>
    </w:p>
    <w:p>
      <w:pPr>
        <w:pStyle w:val="ListNumber"/>
        <w:spacing w:before="20" w:after="20"/>
      </w:pPr>
      <w:r>
        <w:t>508 Accessibility Testing (Week 12)</w:t>
      </w:r>
    </w:p>
    <w:p>
      <w:pPr>
        <w:pStyle w:val="ListBullet"/>
        <w:spacing w:before="20" w:after="20"/>
      </w:pPr>
      <w:r>
        <w:t>Conduct automated accessibility scanning with WCAG 2.1 AA compliance tools.</w:t>
      </w:r>
    </w:p>
    <w:p>
      <w:pPr>
        <w:pStyle w:val="ListBullet"/>
        <w:spacing w:before="20" w:after="20"/>
      </w:pPr>
      <w:r>
        <w:t>Perform manual keyboard navigation testing across all modules.</w:t>
      </w:r>
    </w:p>
    <w:p>
      <w:pPr>
        <w:pStyle w:val="ListBullet"/>
        <w:spacing w:before="20" w:after="20"/>
      </w:pPr>
      <w:r>
        <w:t>Test screen reader compatibility.</w:t>
      </w:r>
    </w:p>
    <w:p>
      <w:pPr>
        <w:pStyle w:val="ListBullet"/>
        <w:spacing w:before="20" w:after="20"/>
      </w:pPr>
      <w:r>
        <w:t>Validate color contrast ratios and focus indicators.</w:t>
      </w:r>
    </w:p>
    <w:p>
      <w:pPr>
        <w:pStyle w:val="ListBullet"/>
        <w:spacing w:before="20" w:after="20"/>
      </w:pPr>
      <w:r>
        <w:t>Remediate identified accessibility deficiencies.</w:t>
      </w:r>
    </w:p>
    <w:p>
      <w:pPr>
        <w:spacing w:after="80"/>
      </w:pPr>
      <w:r>
        <w:t>Exit Criteria: All tests pass acceptance criteria, security findings are remediated or have approved Plans of Action and Milestones (POA&amp;M), and UAT sign-off is obtained.</w:t>
      </w:r>
    </w:p>
    <w:p>
      <w:r>
        <w:t>____________________________________________________________</w:t>
      </w:r>
    </w:p>
    <w:p>
      <w:pPr>
        <w:pStyle w:val="Heading2"/>
      </w:pPr>
      <w:r>
        <w:t>Phase 5: Training and Go-Live (Weeks 13--16)</w:t>
      </w:r>
    </w:p>
    <w:p>
      <w:pPr>
        <w:spacing w:after="80"/>
      </w:pPr>
      <w:r>
        <w:t>Objective: Train all user roles, conduct parallel operations, and execute production go-live cutover.</w:t>
      </w:r>
    </w:p>
    <w:p>
      <w:pPr>
        <w:spacing w:after="80"/>
      </w:pPr>
      <w:r>
        <w:t>Activities:</w:t>
      </w:r>
    </w:p>
    <w:p>
      <w:pPr>
        <w:pStyle w:val="ListNumber"/>
        <w:spacing w:before="20" w:after="20"/>
      </w:pPr>
      <w:r>
        <w:t>Administrator Training (Week 13)</w:t>
      </w:r>
    </w:p>
    <w:p>
      <w:pPr>
        <w:pStyle w:val="ListBullet"/>
        <w:spacing w:before="20" w:after="20"/>
      </w:pPr>
      <w:r>
        <w:t>System administration procedures (user management, role assignment).</w:t>
      </w:r>
    </w:p>
    <w:p>
      <w:pPr>
        <w:pStyle w:val="ListBullet"/>
        <w:spacing w:before="20" w:after="20"/>
      </w:pPr>
      <w:r>
        <w:t>Reference data and system settings configuration.</w:t>
      </w:r>
    </w:p>
    <w:p>
      <w:pPr>
        <w:pStyle w:val="ListBullet"/>
        <w:spacing w:before="20" w:after="20"/>
      </w:pPr>
      <w:r>
        <w:t>Report definition and scheduling.</w:t>
      </w:r>
    </w:p>
    <w:p>
      <w:pPr>
        <w:pStyle w:val="ListBullet"/>
        <w:spacing w:before="20" w:after="20"/>
      </w:pPr>
      <w:r>
        <w:t>Backup, recovery, and incident response procedures.</w:t>
      </w:r>
    </w:p>
    <w:p>
      <w:pPr>
        <w:pStyle w:val="ListBullet"/>
        <w:spacing w:before="20" w:after="20"/>
      </w:pPr>
      <w:r>
        <w:t>Feature flag management.</w:t>
      </w:r>
    </w:p>
    <w:p>
      <w:pPr>
        <w:pStyle w:val="ListNumber"/>
        <w:spacing w:before="20" w:after="20"/>
      </w:pPr>
      <w:r>
        <w:t>End-User Training by Role (Weeks 13--14)</w:t>
      </w:r>
    </w:p>
    <w:p>
      <w:pPr>
        <w:pStyle w:val="ListBullet"/>
        <w:spacing w:before="20" w:after="20"/>
      </w:pPr>
      <w:r>
        <w:t>Investigators: Case creation, subject management, evidence handling, document upload, task management, time entry, AI tools.</w:t>
      </w:r>
    </w:p>
    <w:p>
      <w:pPr>
        <w:pStyle w:val="ListBullet"/>
        <w:spacing w:before="20" w:after="20"/>
      </w:pPr>
      <w:r>
        <w:t>Supervisors: Case assignment, approval workflows, reporting, timesheet approval, performance dashboards.</w:t>
      </w:r>
    </w:p>
    <w:p>
      <w:pPr>
        <w:pStyle w:val="ListBullet"/>
        <w:spacing w:before="20" w:after="20"/>
      </w:pPr>
      <w:r>
        <w:t>Analysts: Search and analytics, AI investigation intelligence, financial analysis, report generation.</w:t>
      </w:r>
    </w:p>
    <w:p>
      <w:pPr>
        <w:pStyle w:val="ListBullet"/>
        <w:spacing w:before="20" w:after="20"/>
      </w:pPr>
      <w:r>
        <w:t>Auditors: Audit log review, compliance reporting, evidence review.</w:t>
      </w:r>
    </w:p>
    <w:p>
      <w:pPr>
        <w:pStyle w:val="ListBullet"/>
        <w:spacing w:before="20" w:after="20"/>
      </w:pPr>
      <w:r>
        <w:t>Read-Only Users: Dashboard navigation, case viewing, report access.</w:t>
      </w:r>
    </w:p>
    <w:p>
      <w:pPr>
        <w:pStyle w:val="ListNumber"/>
        <w:spacing w:before="20" w:after="20"/>
      </w:pPr>
      <w:r>
        <w:t>Parallel Operations Period (Weeks 14--15)</w:t>
      </w:r>
    </w:p>
    <w:p>
      <w:pPr>
        <w:pStyle w:val="ListBullet"/>
        <w:spacing w:before="20" w:after="20"/>
      </w:pPr>
      <w:r>
        <w:t>Operate OIG-ITS in parallel with legacy systems for a minimum of two weeks.</w:t>
      </w:r>
    </w:p>
    <w:p>
      <w:pPr>
        <w:pStyle w:val="ListBullet"/>
        <w:spacing w:before="20" w:after="20"/>
      </w:pPr>
      <w:r>
        <w:t>Require users to enter data in both systems during parallel period.</w:t>
      </w:r>
    </w:p>
    <w:p>
      <w:pPr>
        <w:pStyle w:val="ListBullet"/>
        <w:spacing w:before="20" w:after="20"/>
      </w:pPr>
      <w:r>
        <w:t>Compare outputs and identify discrepancies.</w:t>
      </w:r>
    </w:p>
    <w:p>
      <w:pPr>
        <w:pStyle w:val="ListBullet"/>
        <w:spacing w:before="20" w:after="20"/>
      </w:pPr>
      <w:r>
        <w:t>Document and resolve issues discovered during parallel operations.</w:t>
      </w:r>
    </w:p>
    <w:p>
      <w:pPr>
        <w:pStyle w:val="ListNumber"/>
        <w:spacing w:before="20" w:after="20"/>
      </w:pPr>
      <w:r>
        <w:t>Go-Live Cutover (Week 16)</w:t>
      </w:r>
    </w:p>
    <w:p>
      <w:pPr>
        <w:pStyle w:val="ListBullet"/>
        <w:spacing w:before="20" w:after="20"/>
      </w:pPr>
      <w:r>
        <w:t>Execute final data synchronization from legacy systems.</w:t>
      </w:r>
    </w:p>
    <w:p>
      <w:pPr>
        <w:pStyle w:val="ListBullet"/>
        <w:spacing w:before="20" w:after="20"/>
      </w:pPr>
      <w:r>
        <w:t>Disable write access to legacy systems.</w:t>
      </w:r>
    </w:p>
    <w:p>
      <w:pPr>
        <w:pStyle w:val="ListBullet"/>
        <w:spacing w:before="20" w:after="20"/>
      </w:pPr>
      <w:r>
        <w:t>Redirect users to OIG-ITS production URL.</w:t>
      </w:r>
    </w:p>
    <w:p>
      <w:pPr>
        <w:pStyle w:val="ListBullet"/>
        <w:spacing w:before="20" w:after="20"/>
      </w:pPr>
      <w:r>
        <w:t>Activate email notification delivery.</w:t>
      </w:r>
    </w:p>
    <w:p>
      <w:pPr>
        <w:pStyle w:val="ListBullet"/>
        <w:spacing w:before="20" w:after="20"/>
      </w:pPr>
      <w:r>
        <w:t>Confirm all background jobs are operational.</w:t>
      </w:r>
    </w:p>
    <w:p>
      <w:pPr>
        <w:pStyle w:val="ListBullet"/>
        <w:spacing w:before="20" w:after="20"/>
      </w:pPr>
      <w:r>
        <w:t>Issue formal go-live communication to all stakeholders.</w:t>
      </w:r>
    </w:p>
    <w:p>
      <w:pPr>
        <w:pStyle w:val="ListNumber"/>
        <w:spacing w:before="20" w:after="20"/>
      </w:pPr>
      <w:r>
        <w:t>Post-Go-Live Support (Week 16)</w:t>
      </w:r>
    </w:p>
    <w:p>
      <w:pPr>
        <w:pStyle w:val="ListBullet"/>
        <w:spacing w:before="20" w:after="20"/>
      </w:pPr>
      <w:r>
        <w:t>Deploy on-site and remote support personnel during first week of production use.</w:t>
      </w:r>
    </w:p>
    <w:p>
      <w:pPr>
        <w:pStyle w:val="ListBullet"/>
        <w:spacing w:before="20" w:after="20"/>
      </w:pPr>
      <w:r>
        <w:t>Establish dedicated support communication channel.</w:t>
      </w:r>
    </w:p>
    <w:p>
      <w:pPr>
        <w:pStyle w:val="ListBullet"/>
        <w:spacing w:before="20" w:after="20"/>
      </w:pPr>
      <w:r>
        <w:t>Monitor system performance and error logs continuously.</w:t>
      </w:r>
    </w:p>
    <w:p>
      <w:pPr>
        <w:pStyle w:val="ListBullet"/>
        <w:spacing w:before="20" w:after="20"/>
      </w:pPr>
      <w:r>
        <w:t>Address critical issues within 4-hour SLA.</w:t>
      </w:r>
    </w:p>
    <w:p>
      <w:pPr>
        <w:spacing w:after="80"/>
      </w:pPr>
      <w:r>
        <w:t>Exit Criteria: All users are trained, parallel operations are completed successfully, and go-live cutover is executed without critical issues.</w:t>
      </w:r>
    </w:p>
    <w:p>
      <w:r>
        <w:t>____________________________________________________________</w:t>
      </w:r>
    </w:p>
    <w:p>
      <w:pPr>
        <w:pStyle w:val="Heading2"/>
      </w:pPr>
      <w:r>
        <w:t>Phase 6: Stabilization (Weeks 17--18)</w:t>
      </w:r>
    </w:p>
    <w:p>
      <w:pPr>
        <w:spacing w:after="80"/>
      </w:pPr>
      <w:r>
        <w:t>Objective: Resolve post-go-live issues, optimize performance, and finalize documentation.</w:t>
      </w:r>
    </w:p>
    <w:p>
      <w:pPr>
        <w:spacing w:after="80"/>
      </w:pPr>
      <w:r>
        <w:t>Activities:</w:t>
      </w:r>
    </w:p>
    <w:p>
      <w:pPr>
        <w:pStyle w:val="ListNumber"/>
        <w:spacing w:before="20" w:after="20"/>
      </w:pPr>
      <w:r>
        <w:t>Bug Fix Window (Week 17)</w:t>
      </w:r>
    </w:p>
    <w:p>
      <w:pPr>
        <w:pStyle w:val="ListBullet"/>
        <w:spacing w:before="20" w:after="20"/>
      </w:pPr>
      <w:r>
        <w:t>Triage and prioritize reported defects.</w:t>
      </w:r>
    </w:p>
    <w:p>
      <w:pPr>
        <w:pStyle w:val="ListBullet"/>
        <w:spacing w:before="20" w:after="20"/>
      </w:pPr>
      <w:r>
        <w:t>Deploy critical and high-priority fixes via expedited change management.</w:t>
      </w:r>
    </w:p>
    <w:p>
      <w:pPr>
        <w:pStyle w:val="ListBullet"/>
        <w:spacing w:before="20" w:after="20"/>
      </w:pPr>
      <w:r>
        <w:t>Regression-test deployed fixes.</w:t>
      </w:r>
    </w:p>
    <w:p>
      <w:pPr>
        <w:pStyle w:val="ListNumber"/>
        <w:spacing w:before="20" w:after="20"/>
      </w:pPr>
      <w:r>
        <w:t>Performance Tuning (Week 17)</w:t>
      </w:r>
    </w:p>
    <w:p>
      <w:pPr>
        <w:pStyle w:val="ListBullet"/>
        <w:spacing w:before="20" w:after="20"/>
      </w:pPr>
      <w:r>
        <w:t>Analyze production performance metrics.</w:t>
      </w:r>
    </w:p>
    <w:p>
      <w:pPr>
        <w:pStyle w:val="ListBullet"/>
        <w:spacing w:before="20" w:after="20"/>
      </w:pPr>
      <w:r>
        <w:t>Optimize database queries and indexes based on actual usage patterns.</w:t>
      </w:r>
    </w:p>
    <w:p>
      <w:pPr>
        <w:pStyle w:val="ListBullet"/>
        <w:spacing w:before="20" w:after="20"/>
      </w:pPr>
      <w:r>
        <w:t>Tune MeiliSearch index configuration for search relevance.</w:t>
      </w:r>
    </w:p>
    <w:p>
      <w:pPr>
        <w:pStyle w:val="ListBullet"/>
        <w:spacing w:before="20" w:after="20"/>
      </w:pPr>
      <w:r>
        <w:t>Adjust Redis memory allocation and BullMQ concurrency settings.</w:t>
      </w:r>
    </w:p>
    <w:p>
      <w:pPr>
        <w:pStyle w:val="ListNumber"/>
        <w:spacing w:before="20" w:after="20"/>
      </w:pPr>
      <w:r>
        <w:t>User Feedback Collection (Week 18)</w:t>
      </w:r>
    </w:p>
    <w:p>
      <w:pPr>
        <w:pStyle w:val="ListBullet"/>
        <w:spacing w:before="20" w:after="20"/>
      </w:pPr>
      <w:r>
        <w:t>Distribute user satisfaction surveys.</w:t>
      </w:r>
    </w:p>
    <w:p>
      <w:pPr>
        <w:pStyle w:val="ListBullet"/>
        <w:spacing w:before="20" w:after="20"/>
      </w:pPr>
      <w:r>
        <w:t>Conduct feedback sessions with each user role group.</w:t>
      </w:r>
    </w:p>
    <w:p>
      <w:pPr>
        <w:pStyle w:val="ListBullet"/>
        <w:spacing w:before="20" w:after="20"/>
      </w:pPr>
      <w:r>
        <w:t>Prioritize enhancement requests for future releases.</w:t>
      </w:r>
    </w:p>
    <w:p>
      <w:pPr>
        <w:pStyle w:val="ListNumber"/>
        <w:spacing w:before="20" w:after="20"/>
      </w:pPr>
      <w:r>
        <w:t>Documentation Finalization (Week 18)</w:t>
      </w:r>
    </w:p>
    <w:p>
      <w:pPr>
        <w:pStyle w:val="ListBullet"/>
        <w:spacing w:before="20" w:after="20"/>
      </w:pPr>
      <w:r>
        <w:t>Update all system documentation to reflect as-deployed configuration.</w:t>
      </w:r>
    </w:p>
    <w:p>
      <w:pPr>
        <w:pStyle w:val="ListBullet"/>
        <w:spacing w:before="20" w:after="20"/>
      </w:pPr>
      <w:r>
        <w:t>Finalize operations and maintenance guide.</w:t>
      </w:r>
    </w:p>
    <w:p>
      <w:pPr>
        <w:pStyle w:val="ListBullet"/>
        <w:spacing w:before="20" w:after="20"/>
      </w:pPr>
      <w:r>
        <w:t>Archive implementation artifacts.</w:t>
      </w:r>
    </w:p>
    <w:p>
      <w:pPr>
        <w:pStyle w:val="ListBullet"/>
        <w:spacing w:before="20" w:after="20"/>
      </w:pPr>
      <w:r>
        <w:t>Deliver final SIP update as a project closeout deliverable.</w:t>
      </w:r>
    </w:p>
    <w:p>
      <w:pPr>
        <w:spacing w:after="80"/>
      </w:pPr>
      <w:r>
        <w:t>Exit Criteria: All critical defects are resolved, documentation is finalized, and implementation closeout report is delivered.</w:t>
      </w:r>
    </w:p>
    <w:p>
      <w:r>
        <w:t>____________________________________________________________</w:t>
      </w:r>
    </w:p>
    <w:p>
      <w:pPr>
        <w:pStyle w:val="Heading1"/>
      </w:pPr>
      <w:r>
        <w:t>4. Data Migration Plan</w:t>
      </w:r>
    </w:p>
    <w:p>
      <w:pPr>
        <w:pStyle w:val="Heading2"/>
      </w:pPr>
      <w:r>
        <w:t>4.1 Source Systems Inventory</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pPr>
              <w:spacing w:before="20" w:after="20"/>
            </w:pPr>
            <w:r>
              <w:rPr>
                <w:sz w:val="18"/>
              </w:rPr>
              <w:t>Source System</w:t>
            </w:r>
          </w:p>
        </w:tc>
        <w:tc>
          <w:tcPr>
            <w:tcW w:type="dxa" w:w="2340"/>
          </w:tcPr>
          <w:p>
            <w:pPr>
              <w:spacing w:before="20" w:after="20"/>
            </w:pPr>
            <w:r>
              <w:rPr>
                <w:sz w:val="18"/>
              </w:rPr>
              <w:t>Data Type</w:t>
            </w:r>
          </w:p>
        </w:tc>
        <w:tc>
          <w:tcPr>
            <w:tcW w:type="dxa" w:w="2340"/>
          </w:tcPr>
          <w:p>
            <w:pPr>
              <w:spacing w:before="20" w:after="20"/>
            </w:pPr>
            <w:r>
              <w:rPr>
                <w:sz w:val="18"/>
              </w:rPr>
              <w:t>Format</w:t>
            </w:r>
          </w:p>
        </w:tc>
        <w:tc>
          <w:tcPr>
            <w:tcW w:type="dxa" w:w="2340"/>
          </w:tcPr>
          <w:p>
            <w:pPr>
              <w:spacing w:before="20" w:after="20"/>
            </w:pPr>
            <w:r>
              <w:rPr>
                <w:sz w:val="18"/>
              </w:rPr>
              <w:t>Estimated Volume</w:t>
            </w:r>
          </w:p>
        </w:tc>
      </w:tr>
      <w:tr>
        <w:tc>
          <w:tcPr>
            <w:tcW w:type="dxa" w:w="2340"/>
          </w:tcPr>
          <w:p>
            <w:pPr>
              <w:spacing w:before="20" w:after="20"/>
            </w:pPr>
            <w:r>
              <w:rPr>
                <w:sz w:val="18"/>
              </w:rPr>
              <w:t>Legacy Case Spreadsheets</w:t>
            </w:r>
          </w:p>
        </w:tc>
        <w:tc>
          <w:tcPr>
            <w:tcW w:type="dxa" w:w="2340"/>
          </w:tcPr>
          <w:p>
            <w:pPr>
              <w:spacing w:before="20" w:after="20"/>
            </w:pPr>
            <w:r>
              <w:rPr>
                <w:sz w:val="18"/>
              </w:rPr>
              <w:t>Case records</w:t>
            </w:r>
          </w:p>
        </w:tc>
        <w:tc>
          <w:tcPr>
            <w:tcW w:type="dxa" w:w="2340"/>
          </w:tcPr>
          <w:p>
            <w:pPr>
              <w:spacing w:before="20" w:after="20"/>
            </w:pPr>
            <w:r>
              <w:rPr>
                <w:sz w:val="18"/>
              </w:rPr>
              <w:t>XLSX/CSV</w:t>
            </w:r>
          </w:p>
        </w:tc>
        <w:tc>
          <w:tcPr>
            <w:tcW w:type="dxa" w:w="2340"/>
          </w:tcPr>
          <w:p>
            <w:pPr>
              <w:spacing w:before="20" w:after="20"/>
            </w:pPr>
            <w:r>
              <w:rPr>
                <w:sz w:val="18"/>
              </w:rPr>
              <w:t>5,000--15,000 rows</w:t>
            </w:r>
          </w:p>
        </w:tc>
      </w:tr>
      <w:tr>
        <w:tc>
          <w:tcPr>
            <w:tcW w:type="dxa" w:w="2340"/>
          </w:tcPr>
          <w:p>
            <w:pPr>
              <w:spacing w:before="20" w:after="20"/>
            </w:pPr>
            <w:r>
              <w:rPr>
                <w:sz w:val="18"/>
              </w:rPr>
              <w:t>Network File Shares</w:t>
            </w:r>
          </w:p>
        </w:tc>
        <w:tc>
          <w:tcPr>
            <w:tcW w:type="dxa" w:w="2340"/>
          </w:tcPr>
          <w:p>
            <w:pPr>
              <w:spacing w:before="20" w:after="20"/>
            </w:pPr>
            <w:r>
              <w:rPr>
                <w:sz w:val="18"/>
              </w:rPr>
              <w:t>Investigation documents</w:t>
            </w:r>
          </w:p>
        </w:tc>
        <w:tc>
          <w:tcPr>
            <w:tcW w:type="dxa" w:w="2340"/>
          </w:tcPr>
          <w:p>
            <w:pPr>
              <w:spacing w:before="20" w:after="20"/>
            </w:pPr>
            <w:r>
              <w:rPr>
                <w:sz w:val="18"/>
              </w:rPr>
              <w:t>PDF, DOCX, XLSX</w:t>
            </w:r>
          </w:p>
        </w:tc>
        <w:tc>
          <w:tcPr>
            <w:tcW w:type="dxa" w:w="2340"/>
          </w:tcPr>
          <w:p>
            <w:pPr>
              <w:spacing w:before="20" w:after="20"/>
            </w:pPr>
            <w:r>
              <w:rPr>
                <w:sz w:val="18"/>
              </w:rPr>
              <w:t>50,000+ files</w:t>
            </w:r>
          </w:p>
        </w:tc>
      </w:tr>
      <w:tr>
        <w:tc>
          <w:tcPr>
            <w:tcW w:type="dxa" w:w="2340"/>
          </w:tcPr>
          <w:p>
            <w:pPr>
              <w:spacing w:before="20" w:after="20"/>
            </w:pPr>
            <w:r>
              <w:rPr>
                <w:sz w:val="18"/>
              </w:rPr>
              <w:t>Email Archives</w:t>
            </w:r>
          </w:p>
        </w:tc>
        <w:tc>
          <w:tcPr>
            <w:tcW w:type="dxa" w:w="2340"/>
          </w:tcPr>
          <w:p>
            <w:pPr>
              <w:spacing w:before="20" w:after="20"/>
            </w:pPr>
            <w:r>
              <w:rPr>
                <w:sz w:val="18"/>
              </w:rPr>
              <w:t>Correspondence, attachments</w:t>
            </w:r>
          </w:p>
        </w:tc>
        <w:tc>
          <w:tcPr>
            <w:tcW w:type="dxa" w:w="2340"/>
          </w:tcPr>
          <w:p>
            <w:pPr>
              <w:spacing w:before="20" w:after="20"/>
            </w:pPr>
            <w:r>
              <w:rPr>
                <w:sz w:val="18"/>
              </w:rPr>
              <w:t>MSG/EML</w:t>
            </w:r>
          </w:p>
        </w:tc>
        <w:tc>
          <w:tcPr>
            <w:tcW w:type="dxa" w:w="2340"/>
          </w:tcPr>
          <w:p>
            <w:pPr>
              <w:spacing w:before="20" w:after="20"/>
            </w:pPr>
            <w:r>
              <w:rPr>
                <w:sz w:val="18"/>
              </w:rPr>
              <w:t>10,000+ items</w:t>
            </w:r>
          </w:p>
        </w:tc>
      </w:tr>
      <w:tr>
        <w:tc>
          <w:tcPr>
            <w:tcW w:type="dxa" w:w="2340"/>
          </w:tcPr>
          <w:p>
            <w:pPr>
              <w:spacing w:before="20" w:after="20"/>
            </w:pPr>
            <w:r>
              <w:rPr>
                <w:sz w:val="18"/>
              </w:rPr>
              <w:t>Personnel Database</w:t>
            </w:r>
          </w:p>
        </w:tc>
        <w:tc>
          <w:tcPr>
            <w:tcW w:type="dxa" w:w="2340"/>
          </w:tcPr>
          <w:p>
            <w:pPr>
              <w:spacing w:before="20" w:after="20"/>
            </w:pPr>
            <w:r>
              <w:rPr>
                <w:sz w:val="18"/>
              </w:rPr>
              <w:t>Investigator profiles</w:t>
            </w:r>
          </w:p>
        </w:tc>
        <w:tc>
          <w:tcPr>
            <w:tcW w:type="dxa" w:w="2340"/>
          </w:tcPr>
          <w:p>
            <w:pPr>
              <w:spacing w:before="20" w:after="20"/>
            </w:pPr>
            <w:r>
              <w:rPr>
                <w:sz w:val="18"/>
              </w:rPr>
              <w:t>CSV export</w:t>
            </w:r>
          </w:p>
        </w:tc>
        <w:tc>
          <w:tcPr>
            <w:tcW w:type="dxa" w:w="2340"/>
          </w:tcPr>
          <w:p>
            <w:pPr>
              <w:spacing w:before="20" w:after="20"/>
            </w:pPr>
            <w:r>
              <w:rPr>
                <w:sz w:val="18"/>
              </w:rPr>
              <w:t>200--500 records</w:t>
            </w:r>
          </w:p>
        </w:tc>
      </w:tr>
      <w:tr>
        <w:tc>
          <w:tcPr>
            <w:tcW w:type="dxa" w:w="2340"/>
          </w:tcPr>
          <w:p>
            <w:pPr>
              <w:spacing w:before="20" w:after="20"/>
            </w:pPr>
            <w:r>
              <w:rPr>
                <w:sz w:val="18"/>
              </w:rPr>
              <w:t>Training Records</w:t>
            </w:r>
          </w:p>
        </w:tc>
        <w:tc>
          <w:tcPr>
            <w:tcW w:type="dxa" w:w="2340"/>
          </w:tcPr>
          <w:p>
            <w:pPr>
              <w:spacing w:before="20" w:after="20"/>
            </w:pPr>
            <w:r>
              <w:rPr>
                <w:sz w:val="18"/>
              </w:rPr>
              <w:t>Certifications, completions</w:t>
            </w:r>
          </w:p>
        </w:tc>
        <w:tc>
          <w:tcPr>
            <w:tcW w:type="dxa" w:w="2340"/>
          </w:tcPr>
          <w:p>
            <w:pPr>
              <w:spacing w:before="20" w:after="20"/>
            </w:pPr>
            <w:r>
              <w:rPr>
                <w:sz w:val="18"/>
              </w:rPr>
              <w:t>XLSX</w:t>
            </w:r>
          </w:p>
        </w:tc>
        <w:tc>
          <w:tcPr>
            <w:tcW w:type="dxa" w:w="2340"/>
          </w:tcPr>
          <w:p>
            <w:pPr>
              <w:spacing w:before="20" w:after="20"/>
            </w:pPr>
            <w:r>
              <w:rPr>
                <w:sz w:val="18"/>
              </w:rPr>
              <w:t>2,000+ records</w:t>
            </w:r>
          </w:p>
        </w:tc>
      </w:tr>
      <w:tr>
        <w:tc>
          <w:tcPr>
            <w:tcW w:type="dxa" w:w="2340"/>
          </w:tcPr>
          <w:p>
            <w:pPr>
              <w:spacing w:before="20" w:after="20"/>
            </w:pPr>
            <w:r>
              <w:rPr>
                <w:sz w:val="18"/>
              </w:rPr>
              <w:t>Evidence Logs</w:t>
            </w:r>
          </w:p>
        </w:tc>
        <w:tc>
          <w:tcPr>
            <w:tcW w:type="dxa" w:w="2340"/>
          </w:tcPr>
          <w:p>
            <w:pPr>
              <w:spacing w:before="20" w:after="20"/>
            </w:pPr>
            <w:r>
              <w:rPr>
                <w:sz w:val="18"/>
              </w:rPr>
              <w:t>Evidence tracking sheets</w:t>
            </w:r>
          </w:p>
        </w:tc>
        <w:tc>
          <w:tcPr>
            <w:tcW w:type="dxa" w:w="2340"/>
          </w:tcPr>
          <w:p>
            <w:pPr>
              <w:spacing w:before="20" w:after="20"/>
            </w:pPr>
            <w:r>
              <w:rPr>
                <w:sz w:val="18"/>
              </w:rPr>
              <w:t>XLSX</w:t>
            </w:r>
          </w:p>
        </w:tc>
        <w:tc>
          <w:tcPr>
            <w:tcW w:type="dxa" w:w="2340"/>
          </w:tcPr>
          <w:p>
            <w:pPr>
              <w:spacing w:before="20" w:after="20"/>
            </w:pPr>
            <w:r>
              <w:rPr>
                <w:sz w:val="18"/>
              </w:rPr>
              <w:t>5,000+ records</w:t>
            </w:r>
          </w:p>
        </w:tc>
      </w:tr>
    </w:tbl>
    <w:p/>
    <w:p>
      <w:pPr>
        <w:pStyle w:val="Heading2"/>
      </w:pPr>
      <w:r>
        <w:t>4.2 Entity Mapping (Legacy to OIG-ITS Models)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spacing w:before="20" w:after="20"/>
            </w:pPr>
            <w:r>
              <w:rPr>
                <w:sz w:val="18"/>
              </w:rPr>
              <w:t>Legacy Entity</w:t>
            </w:r>
          </w:p>
        </w:tc>
        <w:tc>
          <w:tcPr>
            <w:tcW w:type="dxa" w:w="3120"/>
          </w:tcPr>
          <w:p>
            <w:pPr>
              <w:spacing w:before="20" w:after="20"/>
            </w:pPr>
            <w:r>
              <w:rPr>
                <w:sz w:val="18"/>
              </w:rPr>
              <w:t>OIG-ITS Model</w:t>
            </w:r>
          </w:p>
        </w:tc>
        <w:tc>
          <w:tcPr>
            <w:tcW w:type="dxa" w:w="3120"/>
          </w:tcPr>
          <w:p>
            <w:pPr>
              <w:spacing w:before="20" w:after="20"/>
            </w:pPr>
            <w:r>
              <w:rPr>
                <w:sz w:val="18"/>
              </w:rPr>
              <w:t>Key Transformations</w:t>
            </w:r>
          </w:p>
        </w:tc>
      </w:tr>
      <w:tr>
        <w:tc>
          <w:tcPr>
            <w:tcW w:type="dxa" w:w="3120"/>
          </w:tcPr>
          <w:p>
            <w:pPr>
              <w:spacing w:before="20" w:after="20"/>
            </w:pPr>
            <w:r>
              <w:rPr>
                <w:sz w:val="18"/>
              </w:rPr>
              <w:t>Case record</w:t>
            </w:r>
          </w:p>
        </w:tc>
        <w:tc>
          <w:tcPr>
            <w:tcW w:type="dxa" w:w="3120"/>
          </w:tcPr>
          <w:p>
            <w:pPr>
              <w:spacing w:before="20" w:after="20"/>
            </w:pPr>
            <w:r>
              <w:rPr>
                <w:sz w:val="18"/>
              </w:rPr>
              <w:t>Case</w:t>
            </w:r>
          </w:p>
        </w:tc>
        <w:tc>
          <w:tcPr>
            <w:tcW w:type="dxa" w:w="3120"/>
          </w:tcPr>
          <w:p>
            <w:pPr>
              <w:spacing w:before="20" w:after="20"/>
            </w:pPr>
            <w:r>
              <w:rPr>
                <w:sz w:val="18"/>
              </w:rPr>
              <w:t>Status normalization, case number generation</w:t>
            </w:r>
          </w:p>
        </w:tc>
      </w:tr>
      <w:tr>
        <w:tc>
          <w:tcPr>
            <w:tcW w:type="dxa" w:w="3120"/>
          </w:tcPr>
          <w:p>
            <w:pPr>
              <w:spacing w:before="20" w:after="20"/>
            </w:pPr>
            <w:r>
              <w:rPr>
                <w:sz w:val="18"/>
              </w:rPr>
              <w:t>Person of interest</w:t>
            </w:r>
          </w:p>
        </w:tc>
        <w:tc>
          <w:tcPr>
            <w:tcW w:type="dxa" w:w="3120"/>
          </w:tcPr>
          <w:p>
            <w:pPr>
              <w:spacing w:before="20" w:after="20"/>
            </w:pPr>
            <w:r>
              <w:rPr>
                <w:sz w:val="18"/>
              </w:rPr>
              <w:t>Subject + CaseSubject</w:t>
            </w:r>
          </w:p>
        </w:tc>
        <w:tc>
          <w:tcPr>
            <w:tcW w:type="dxa" w:w="3120"/>
          </w:tcPr>
          <w:p>
            <w:pPr>
              <w:spacing w:before="20" w:after="20"/>
            </w:pPr>
            <w:r>
              <w:rPr>
                <w:sz w:val="18"/>
              </w:rPr>
              <w:t>Type classification, role assignment</w:t>
            </w:r>
          </w:p>
        </w:tc>
      </w:tr>
      <w:tr>
        <w:tc>
          <w:tcPr>
            <w:tcW w:type="dxa" w:w="3120"/>
          </w:tcPr>
          <w:p>
            <w:pPr>
              <w:spacing w:before="20" w:after="20"/>
            </w:pPr>
            <w:r>
              <w:rPr>
                <w:sz w:val="18"/>
              </w:rPr>
              <w:t>Case assignment</w:t>
            </w:r>
          </w:p>
        </w:tc>
        <w:tc>
          <w:tcPr>
            <w:tcW w:type="dxa" w:w="3120"/>
          </w:tcPr>
          <w:p>
            <w:pPr>
              <w:spacing w:before="20" w:after="20"/>
            </w:pPr>
            <w:r>
              <w:rPr>
                <w:sz w:val="18"/>
              </w:rPr>
              <w:t>CaseAssignment</w:t>
            </w:r>
          </w:p>
        </w:tc>
        <w:tc>
          <w:tcPr>
            <w:tcW w:type="dxa" w:w="3120"/>
          </w:tcPr>
          <w:p>
            <w:pPr>
              <w:spacing w:before="20" w:after="20"/>
            </w:pPr>
            <w:r>
              <w:rPr>
                <w:sz w:val="18"/>
              </w:rPr>
              <w:t>Role standardization</w:t>
            </w:r>
          </w:p>
        </w:tc>
      </w:tr>
      <w:tr>
        <w:tc>
          <w:tcPr>
            <w:tcW w:type="dxa" w:w="3120"/>
          </w:tcPr>
          <w:p>
            <w:pPr>
              <w:spacing w:before="20" w:after="20"/>
            </w:pPr>
            <w:r>
              <w:rPr>
                <w:sz w:val="18"/>
              </w:rPr>
              <w:t>Investigation notes</w:t>
            </w:r>
          </w:p>
        </w:tc>
        <w:tc>
          <w:tcPr>
            <w:tcW w:type="dxa" w:w="3120"/>
          </w:tcPr>
          <w:p>
            <w:pPr>
              <w:spacing w:before="20" w:after="20"/>
            </w:pPr>
            <w:r>
              <w:rPr>
                <w:sz w:val="18"/>
              </w:rPr>
              <w:t>CaseNote</w:t>
            </w:r>
          </w:p>
        </w:tc>
        <w:tc>
          <w:tcPr>
            <w:tcW w:type="dxa" w:w="3120"/>
          </w:tcPr>
          <w:p>
            <w:pPr>
              <w:spacing w:before="20" w:after="20"/>
            </w:pPr>
            <w:r>
              <w:rPr>
                <w:sz w:val="18"/>
              </w:rPr>
              <w:t>Author mapping, timestamp normalization</w:t>
            </w:r>
          </w:p>
        </w:tc>
      </w:tr>
      <w:tr>
        <w:tc>
          <w:tcPr>
            <w:tcW w:type="dxa" w:w="3120"/>
          </w:tcPr>
          <w:p>
            <w:pPr>
              <w:spacing w:before="20" w:after="20"/>
            </w:pPr>
            <w:r>
              <w:rPr>
                <w:sz w:val="18"/>
              </w:rPr>
              <w:t>Documents</w:t>
            </w:r>
          </w:p>
        </w:tc>
        <w:tc>
          <w:tcPr>
            <w:tcW w:type="dxa" w:w="3120"/>
          </w:tcPr>
          <w:p>
            <w:pPr>
              <w:spacing w:before="20" w:after="20"/>
            </w:pPr>
            <w:r>
              <w:rPr>
                <w:sz w:val="18"/>
              </w:rPr>
              <w:t>Document</w:t>
            </w:r>
          </w:p>
        </w:tc>
        <w:tc>
          <w:tcPr>
            <w:tcW w:type="dxa" w:w="3120"/>
          </w:tcPr>
          <w:p>
            <w:pPr>
              <w:spacing w:before="20" w:after="20"/>
            </w:pPr>
            <w:r>
              <w:rPr>
                <w:sz w:val="18"/>
              </w:rPr>
              <w:t>File migration to MinIO, metadata extraction</w:t>
            </w:r>
          </w:p>
        </w:tc>
      </w:tr>
      <w:tr>
        <w:tc>
          <w:tcPr>
            <w:tcW w:type="dxa" w:w="3120"/>
          </w:tcPr>
          <w:p>
            <w:pPr>
              <w:spacing w:before="20" w:after="20"/>
            </w:pPr>
            <w:r>
              <w:rPr>
                <w:sz w:val="18"/>
              </w:rPr>
              <w:t>Evidence items</w:t>
            </w:r>
          </w:p>
        </w:tc>
        <w:tc>
          <w:tcPr>
            <w:tcW w:type="dxa" w:w="3120"/>
          </w:tcPr>
          <w:p>
            <w:pPr>
              <w:spacing w:before="20" w:after="20"/>
            </w:pPr>
            <w:r>
              <w:rPr>
                <w:sz w:val="18"/>
              </w:rPr>
              <w:t>EvidenceItem + EvidenceFile</w:t>
            </w:r>
          </w:p>
        </w:tc>
        <w:tc>
          <w:tcPr>
            <w:tcW w:type="dxa" w:w="3120"/>
          </w:tcPr>
          <w:p>
            <w:pPr>
              <w:spacing w:before="20" w:after="20"/>
            </w:pPr>
            <w:r>
              <w:rPr>
                <w:sz w:val="18"/>
              </w:rPr>
              <w:t>Chain-of-custody initialization</w:t>
            </w:r>
          </w:p>
        </w:tc>
      </w:tr>
      <w:tr>
        <w:tc>
          <w:tcPr>
            <w:tcW w:type="dxa" w:w="3120"/>
          </w:tcPr>
          <w:p>
            <w:pPr>
              <w:spacing w:before="20" w:after="20"/>
            </w:pPr>
            <w:r>
              <w:rPr>
                <w:sz w:val="18"/>
              </w:rPr>
              <w:t>Task lists</w:t>
            </w:r>
          </w:p>
        </w:tc>
        <w:tc>
          <w:tcPr>
            <w:tcW w:type="dxa" w:w="3120"/>
          </w:tcPr>
          <w:p>
            <w:pPr>
              <w:spacing w:before="20" w:after="20"/>
            </w:pPr>
            <w:r>
              <w:rPr>
                <w:sz w:val="18"/>
              </w:rPr>
              <w:t>Task</w:t>
            </w:r>
          </w:p>
        </w:tc>
        <w:tc>
          <w:tcPr>
            <w:tcW w:type="dxa" w:w="3120"/>
          </w:tcPr>
          <w:p>
            <w:pPr>
              <w:spacing w:before="20" w:after="20"/>
            </w:pPr>
            <w:r>
              <w:rPr>
                <w:sz w:val="18"/>
              </w:rPr>
              <w:t>Status mapping, assignee resolution</w:t>
            </w:r>
          </w:p>
        </w:tc>
      </w:tr>
      <w:tr>
        <w:tc>
          <w:tcPr>
            <w:tcW w:type="dxa" w:w="3120"/>
          </w:tcPr>
          <w:p>
            <w:pPr>
              <w:spacing w:before="20" w:after="20"/>
            </w:pPr>
            <w:r>
              <w:rPr>
                <w:sz w:val="18"/>
              </w:rPr>
              <w:t>Violations</w:t>
            </w:r>
          </w:p>
        </w:tc>
        <w:tc>
          <w:tcPr>
            <w:tcW w:type="dxa" w:w="3120"/>
          </w:tcPr>
          <w:p>
            <w:pPr>
              <w:spacing w:before="20" w:after="20"/>
            </w:pPr>
            <w:r>
              <w:rPr>
                <w:sz w:val="18"/>
              </w:rPr>
              <w:t>Violation</w:t>
            </w:r>
          </w:p>
        </w:tc>
        <w:tc>
          <w:tcPr>
            <w:tcW w:type="dxa" w:w="3120"/>
          </w:tcPr>
          <w:p>
            <w:pPr>
              <w:spacing w:before="20" w:after="20"/>
            </w:pPr>
            <w:r>
              <w:rPr>
                <w:sz w:val="18"/>
              </w:rPr>
              <w:t>Code normalization</w:t>
            </w:r>
          </w:p>
        </w:tc>
      </w:tr>
      <w:tr>
        <w:tc>
          <w:tcPr>
            <w:tcW w:type="dxa" w:w="3120"/>
          </w:tcPr>
          <w:p>
            <w:pPr>
              <w:spacing w:before="20" w:after="20"/>
            </w:pPr>
            <w:r>
              <w:rPr>
                <w:sz w:val="18"/>
              </w:rPr>
              <w:t>Financial outcomes</w:t>
            </w:r>
          </w:p>
        </w:tc>
        <w:tc>
          <w:tcPr>
            <w:tcW w:type="dxa" w:w="3120"/>
          </w:tcPr>
          <w:p>
            <w:pPr>
              <w:spacing w:before="20" w:after="20"/>
            </w:pPr>
            <w:r>
              <w:rPr>
                <w:sz w:val="18"/>
              </w:rPr>
              <w:t>FinancialResult</w:t>
            </w:r>
          </w:p>
        </w:tc>
        <w:tc>
          <w:tcPr>
            <w:tcW w:type="dxa" w:w="3120"/>
          </w:tcPr>
          <w:p>
            <w:pPr>
              <w:spacing w:before="20" w:after="20"/>
            </w:pPr>
            <w:r>
              <w:rPr>
                <w:sz w:val="18"/>
              </w:rPr>
              <w:t>Currency formatting, type classification</w:t>
            </w:r>
          </w:p>
        </w:tc>
      </w:tr>
      <w:tr>
        <w:tc>
          <w:tcPr>
            <w:tcW w:type="dxa" w:w="3120"/>
          </w:tcPr>
          <w:p>
            <w:pPr>
              <w:spacing w:before="20" w:after="20"/>
            </w:pPr>
            <w:r>
              <w:rPr>
                <w:sz w:val="18"/>
              </w:rPr>
              <w:t>Referrals</w:t>
            </w:r>
          </w:p>
        </w:tc>
        <w:tc>
          <w:tcPr>
            <w:tcW w:type="dxa" w:w="3120"/>
          </w:tcPr>
          <w:p>
            <w:pPr>
              <w:spacing w:before="20" w:after="20"/>
            </w:pPr>
            <w:r>
              <w:rPr>
                <w:sz w:val="18"/>
              </w:rPr>
              <w:t>Referral</w:t>
            </w:r>
          </w:p>
        </w:tc>
        <w:tc>
          <w:tcPr>
            <w:tcW w:type="dxa" w:w="3120"/>
          </w:tcPr>
          <w:p>
            <w:pPr>
              <w:spacing w:before="20" w:after="20"/>
            </w:pPr>
            <w:r>
              <w:rPr>
                <w:sz w:val="18"/>
              </w:rPr>
              <w:t>Agency name standardization</w:t>
            </w:r>
          </w:p>
        </w:tc>
      </w:tr>
      <w:tr>
        <w:tc>
          <w:tcPr>
            <w:tcW w:type="dxa" w:w="3120"/>
          </w:tcPr>
          <w:p>
            <w:pPr>
              <w:spacing w:before="20" w:after="20"/>
            </w:pPr>
            <w:r>
              <w:rPr>
                <w:sz w:val="18"/>
              </w:rPr>
              <w:t>Training records</w:t>
            </w:r>
          </w:p>
        </w:tc>
        <w:tc>
          <w:tcPr>
            <w:tcW w:type="dxa" w:w="3120"/>
          </w:tcPr>
          <w:p>
            <w:pPr>
              <w:spacing w:before="20" w:after="20"/>
            </w:pPr>
            <w:r>
              <w:rPr>
                <w:sz w:val="18"/>
              </w:rPr>
              <w:t>TrainingRecord</w:t>
            </w:r>
          </w:p>
        </w:tc>
        <w:tc>
          <w:tcPr>
            <w:tcW w:type="dxa" w:w="3120"/>
          </w:tcPr>
          <w:p>
            <w:pPr>
              <w:spacing w:before="20" w:after="20"/>
            </w:pPr>
            <w:r>
              <w:rPr>
                <w:sz w:val="18"/>
              </w:rPr>
              <w:t>Course mapping, date normalization</w:t>
            </w:r>
          </w:p>
        </w:tc>
      </w:tr>
      <w:tr>
        <w:tc>
          <w:tcPr>
            <w:tcW w:type="dxa" w:w="3120"/>
          </w:tcPr>
          <w:p>
            <w:pPr>
              <w:spacing w:before="20" w:after="20"/>
            </w:pPr>
            <w:r>
              <w:rPr>
                <w:sz w:val="18"/>
              </w:rPr>
              <w:t>Equipment inventory</w:t>
            </w:r>
          </w:p>
        </w:tc>
        <w:tc>
          <w:tcPr>
            <w:tcW w:type="dxa" w:w="3120"/>
          </w:tcPr>
          <w:p>
            <w:pPr>
              <w:spacing w:before="20" w:after="20"/>
            </w:pPr>
            <w:r>
              <w:rPr>
                <w:sz w:val="18"/>
              </w:rPr>
              <w:t>InventoryItem</w:t>
            </w:r>
          </w:p>
        </w:tc>
        <w:tc>
          <w:tcPr>
            <w:tcW w:type="dxa" w:w="3120"/>
          </w:tcPr>
          <w:p>
            <w:pPr>
              <w:spacing w:before="20" w:after="20"/>
            </w:pPr>
            <w:r>
              <w:rPr>
                <w:sz w:val="18"/>
              </w:rPr>
              <w:t>Serial number validation</w:t>
            </w:r>
          </w:p>
        </w:tc>
      </w:tr>
    </w:tbl>
    <w:p/>
    <w:p>
      <w:pPr>
        <w:pStyle w:val="Heading2"/>
      </w:pPr>
      <w:r>
        <w:t>4.3 Document Migration Approach</w:t>
      </w:r>
    </w:p>
    <w:p>
      <w:pPr>
        <w:spacing w:after="80"/>
      </w:pPr>
      <w:r>
        <w:t>Document migration shall utilize the bulk upload API (/api/import/documents) to process files in batches. The migration pipeline shall:</w:t>
      </w:r>
    </w:p>
    <w:p>
      <w:pPr>
        <w:pStyle w:val="ListNumber"/>
        <w:spacing w:before="20" w:after="20"/>
      </w:pPr>
      <w:r>
        <w:t>Scan source file shares and enumerate all investigation-related documents.</w:t>
      </w:r>
    </w:p>
    <w:p>
      <w:pPr>
        <w:pStyle w:val="ListNumber"/>
        <w:spacing w:before="20" w:after="20"/>
      </w:pPr>
      <w:r>
        <w:t>Extract metadata (file name, creation date, author, associated case identifier).</w:t>
      </w:r>
    </w:p>
    <w:p>
      <w:pPr>
        <w:pStyle w:val="ListNumber"/>
        <w:spacing w:before="20" w:after="20"/>
      </w:pPr>
      <w:r>
        <w:t>Upload files to MinIO via the S3-compatible API.</w:t>
      </w:r>
    </w:p>
    <w:p>
      <w:pPr>
        <w:pStyle w:val="ListNumber"/>
        <w:spacing w:before="20" w:after="20"/>
      </w:pPr>
      <w:r>
        <w:t>Create corresponding Document records in PostgreSQL with file key references.</w:t>
      </w:r>
    </w:p>
    <w:p>
      <w:pPr>
        <w:pStyle w:val="ListNumber"/>
        <w:spacing w:before="20" w:after="20"/>
      </w:pPr>
      <w:r>
        <w:t>Index document metadata in MeiliSearch for full-text search.</w:t>
      </w:r>
    </w:p>
    <w:p>
      <w:pPr>
        <w:pStyle w:val="ListNumber"/>
        <w:spacing w:before="20" w:after="20"/>
      </w:pPr>
      <w:r>
        <w:t>Validate file integrity via checksum comparison (source vs. stored).</w:t>
      </w:r>
    </w:p>
    <w:p>
      <w:pPr>
        <w:pStyle w:val="Heading2"/>
      </w:pPr>
      <w:r>
        <w:t>4.4 Validation Criteria</w:t>
      </w:r>
    </w:p>
    <w:p>
      <w:pPr>
        <w:pStyle w:val="ListBullet"/>
        <w:spacing w:before="20" w:after="20"/>
      </w:pPr>
      <w:r>
        <w:t>Record count reconciliation: 100% match between source and target for all entity types.</w:t>
      </w:r>
    </w:p>
    <w:p>
      <w:pPr>
        <w:pStyle w:val="ListBullet"/>
        <w:spacing w:before="20" w:after="20"/>
      </w:pPr>
      <w:r>
        <w:t>Referential integrity: Zero orphaned records across all foreign key relationships.</w:t>
      </w:r>
    </w:p>
    <w:p>
      <w:pPr>
        <w:pStyle w:val="ListBullet"/>
        <w:spacing w:before="20" w:after="20"/>
      </w:pPr>
      <w:r>
        <w:t>Document accessibility: 100% of migrated documents retrievable via the application.</w:t>
      </w:r>
    </w:p>
    <w:p>
      <w:pPr>
        <w:pStyle w:val="ListBullet"/>
        <w:spacing w:before="20" w:after="20"/>
      </w:pPr>
      <w:r>
        <w:t>Search coverage: 100% of migrated records indexed and searchable in MeiliSearch.</w:t>
      </w:r>
    </w:p>
    <w:p>
      <w:pPr>
        <w:pStyle w:val="ListBullet"/>
        <w:spacing w:before="20" w:after="20"/>
      </w:pPr>
      <w:r>
        <w:t>Data accuracy: Random sample validation of 5% of migrated records by business users.</w:t>
      </w:r>
    </w:p>
    <w:p>
      <w:pPr>
        <w:pStyle w:val="Heading2"/>
      </w:pPr>
      <w:r>
        <w:t>4.5 Rollback Procedures</w:t>
      </w:r>
    </w:p>
    <w:p>
      <w:pPr>
        <w:pStyle w:val="ListNumber"/>
        <w:spacing w:before="20" w:after="20"/>
      </w:pPr>
      <w:r>
        <w:t>Pre-Migration Snapshot: Full PostgreSQL database dump and MinIO bucket snapshot captured immediately prior to production migration.</w:t>
      </w:r>
    </w:p>
    <w:p>
      <w:pPr>
        <w:pStyle w:val="ListNumber"/>
        <w:spacing w:before="20" w:after="20"/>
      </w:pPr>
      <w:r>
        <w:t>Rollback Trigger: Migration failure affecting more than 1% of records, or critical data integrity issue identified within 72 hours of migration.</w:t>
      </w:r>
    </w:p>
    <w:p>
      <w:pPr>
        <w:pStyle w:val="ListNumber"/>
        <w:spacing w:before="20" w:after="20"/>
      </w:pPr>
      <w:r>
        <w:t>Rollback Execution: Restore PostgreSQL from pre-migration snapshot; restore MinIO bucket from snapshot; re-index MeiliSearch; verify application functionality.</w:t>
      </w:r>
    </w:p>
    <w:p>
      <w:pPr>
        <w:pStyle w:val="ListNumber"/>
        <w:spacing w:before="20" w:after="20"/>
      </w:pPr>
      <w:r>
        <w:t>Rollback Authorization: Requires approval from Project Manager and CIO.</w:t>
      </w:r>
    </w:p>
    <w:p>
      <w:r>
        <w:t>____________________________________________________________</w:t>
      </w:r>
    </w:p>
    <w:p>
      <w:pPr>
        <w:pStyle w:val="Heading1"/>
      </w:pPr>
      <w:r>
        <w:t>5. Testing Strategy</w:t>
      </w:r>
    </w:p>
    <w:p>
      <w:pPr>
        <w:pStyle w:val="Heading2"/>
      </w:pPr>
      <w:r>
        <w:t>5.1 Unit Testing</w:t>
      </w:r>
    </w:p>
    <w:p>
      <w:pPr>
        <w:spacing w:after="80"/>
      </w:pPr>
      <w:r>
        <w:t>OIG-ITS includes an automated test suite comprising 100+ test cases (test-100.sh) covering all critical system functions. The test suite validates:</w:t>
      </w:r>
    </w:p>
    <w:p>
      <w:pPr>
        <w:pStyle w:val="ListBullet"/>
        <w:spacing w:before="20" w:after="20"/>
      </w:pPr>
      <w:r>
        <w:t>Security and RBAC enforcement (role-based endpoint access control)</w:t>
      </w:r>
    </w:p>
    <w:p>
      <w:pPr>
        <w:pStyle w:val="ListBullet"/>
        <w:spacing w:before="20" w:after="20"/>
      </w:pPr>
      <w:r>
        <w:t>Case CRUD operations (create, read, update, delete)</w:t>
      </w:r>
    </w:p>
    <w:p>
      <w:pPr>
        <w:pStyle w:val="ListBullet"/>
        <w:spacing w:before="20" w:after="20"/>
      </w:pPr>
      <w:r>
        <w:t>Subject management and case-subject linkage</w:t>
      </w:r>
    </w:p>
    <w:p>
      <w:pPr>
        <w:pStyle w:val="ListBullet"/>
        <w:spacing w:before="20" w:after="20"/>
      </w:pPr>
      <w:r>
        <w:t>Document upload, versioning, and approval workflows</w:t>
      </w:r>
    </w:p>
    <w:p>
      <w:pPr>
        <w:pStyle w:val="ListBullet"/>
        <w:spacing w:before="20" w:after="20"/>
      </w:pPr>
      <w:r>
        <w:t>Evidence management and chain-of-custody tracking</w:t>
      </w:r>
    </w:p>
    <w:p>
      <w:pPr>
        <w:pStyle w:val="ListBullet"/>
        <w:spacing w:before="20" w:after="20"/>
      </w:pPr>
      <w:r>
        <w:t>Task lifecycle management</w:t>
      </w:r>
    </w:p>
    <w:p>
      <w:pPr>
        <w:pStyle w:val="ListBullet"/>
        <w:spacing w:before="20" w:after="20"/>
      </w:pPr>
      <w:r>
        <w:t>Workflow engine execution</w:t>
      </w:r>
    </w:p>
    <w:p>
      <w:pPr>
        <w:pStyle w:val="ListBullet"/>
        <w:spacing w:before="20" w:after="20"/>
      </w:pPr>
      <w:r>
        <w:t>Time tracking and timesheet approval</w:t>
      </w:r>
    </w:p>
    <w:p>
      <w:pPr>
        <w:pStyle w:val="ListBullet"/>
        <w:spacing w:before="20" w:after="20"/>
      </w:pPr>
      <w:r>
        <w:t>Training management and expiration monitoring</w:t>
      </w:r>
    </w:p>
    <w:p>
      <w:pPr>
        <w:pStyle w:val="ListBullet"/>
        <w:spacing w:before="20" w:after="20"/>
      </w:pPr>
      <w:r>
        <w:t>AI algorithm endpoint availability and response correctness</w:t>
      </w:r>
    </w:p>
    <w:p>
      <w:pPr>
        <w:pStyle w:val="ListBullet"/>
        <w:spacing w:before="20" w:after="20"/>
      </w:pPr>
      <w:r>
        <w:t>Search functionality and index synchronization</w:t>
      </w:r>
    </w:p>
    <w:p>
      <w:pPr>
        <w:pStyle w:val="ListBullet"/>
        <w:spacing w:before="20" w:after="20"/>
      </w:pPr>
      <w:r>
        <w:t>Notification delivery and preference management</w:t>
      </w:r>
    </w:p>
    <w:p>
      <w:pPr>
        <w:pStyle w:val="ListBullet"/>
        <w:spacing w:before="20" w:after="20"/>
      </w:pPr>
      <w:r>
        <w:t>Audit log generation and completeness</w:t>
      </w:r>
    </w:p>
    <w:p>
      <w:pPr>
        <w:pStyle w:val="ListBullet"/>
        <w:spacing w:before="20" w:after="20"/>
      </w:pPr>
      <w:r>
        <w:t>Data export functionality</w:t>
      </w:r>
    </w:p>
    <w:p>
      <w:pPr>
        <w:spacing w:after="80"/>
      </w:pPr>
      <w:r>
        <w:t>All unit tests shall pass at 100% prior to deployment to production.</w:t>
      </w:r>
    </w:p>
    <w:p>
      <w:pPr>
        <w:pStyle w:val="Heading2"/>
      </w:pPr>
      <w:r>
        <w:t>5.2 Integration Testing</w:t>
      </w:r>
    </w:p>
    <w:p>
      <w:pPr>
        <w:spacing w:after="80"/>
      </w:pPr>
      <w:r>
        <w:t>Integration tests shall validate:</w:t>
      </w:r>
    </w:p>
    <w:p>
      <w:pPr>
        <w:pStyle w:val="ListBullet"/>
        <w:spacing w:before="20" w:after="20"/>
      </w:pPr>
      <w:r>
        <w:t>NextAuth.js authentication flow with session management.</w:t>
      </w:r>
    </w:p>
    <w:p>
      <w:pPr>
        <w:pStyle w:val="ListBullet"/>
        <w:spacing w:before="20" w:after="20"/>
      </w:pPr>
      <w:r>
        <w:t>PostgreSQL data persistence and transactional integrity.</w:t>
      </w:r>
    </w:p>
    <w:p>
      <w:pPr>
        <w:pStyle w:val="ListBullet"/>
        <w:spacing w:before="20" w:after="20"/>
      </w:pPr>
      <w:r>
        <w:t>MeiliSearch index synchronization on data create, update, and delete operations.</w:t>
      </w:r>
    </w:p>
    <w:p>
      <w:pPr>
        <w:pStyle w:val="ListBullet"/>
        <w:spacing w:before="20" w:after="20"/>
      </w:pPr>
      <w:r>
        <w:t>MinIO file storage operations (upload, download, delete, bulk archive).</w:t>
      </w:r>
    </w:p>
    <w:p>
      <w:pPr>
        <w:pStyle w:val="ListBullet"/>
        <w:spacing w:before="20" w:after="20"/>
      </w:pPr>
      <w:r>
        <w:t>BullMQ/Redis job processing for email notifications and scheduled reports.</w:t>
      </w:r>
    </w:p>
    <w:p>
      <w:pPr>
        <w:pStyle w:val="ListBullet"/>
        <w:spacing w:before="20" w:after="20"/>
      </w:pPr>
      <w:r>
        <w:t>Anthropic AI SDK integration for investigation intelligence features.</w:t>
      </w:r>
    </w:p>
    <w:p>
      <w:pPr>
        <w:pStyle w:val="Heading2"/>
      </w:pPr>
      <w:r>
        <w:t>5.3 Security Testing</w:t>
      </w:r>
    </w:p>
    <w:p>
      <w:pPr>
        <w:pStyle w:val="ListBullet"/>
        <w:spacing w:before="20" w:after="20"/>
      </w:pPr>
      <w:r>
        <w:t>Penetration Testing: Conducted by an independent, agency-approved security assessor.</w:t>
      </w:r>
    </w:p>
    <w:p>
      <w:pPr>
        <w:pStyle w:val="ListBullet"/>
        <w:spacing w:before="20" w:after="20"/>
      </w:pPr>
      <w:r>
        <w:t>RBAC Validation: Systematic testing of all 96 API endpoints against all 6 user roles.</w:t>
      </w:r>
    </w:p>
    <w:p>
      <w:pPr>
        <w:pStyle w:val="ListBullet"/>
        <w:spacing w:before="20" w:after="20"/>
      </w:pPr>
      <w:r>
        <w:t>Authentication Testing: Password policy enforcement, account lockout, session timeout, password reset.</w:t>
      </w:r>
    </w:p>
    <w:p>
      <w:pPr>
        <w:pStyle w:val="ListBullet"/>
        <w:spacing w:before="20" w:after="20"/>
      </w:pPr>
      <w:r>
        <w:t>Input Validation: SQL injection, XSS, CSRF, and command injection testing.</w:t>
      </w:r>
    </w:p>
    <w:p>
      <w:pPr>
        <w:pStyle w:val="ListBullet"/>
        <w:spacing w:before="20" w:after="20"/>
      </w:pPr>
      <w:r>
        <w:t>Encryption Validation: Data-at-rest (PostgreSQL, MinIO) and data-in-transit (TLS) verification.</w:t>
      </w:r>
    </w:p>
    <w:p>
      <w:pPr>
        <w:pStyle w:val="Heading2"/>
      </w:pPr>
      <w:r>
        <w:t>5.4 Performance Testing</w:t>
      </w:r>
    </w:p>
    <w:tbl>
      <w:tblPr>
        <w:tblStyle w:val="LightGrid-Accent1"/>
        <w:tblW w:type="auto" w:w="0"/>
        <w:jc w:val="left"/>
        <w:tblLook w:firstColumn="1" w:firstRow="1" w:lastColumn="0" w:lastRow="0" w:noHBand="0" w:noVBand="1" w:val="04A0"/>
      </w:tblPr>
      <w:tblGrid>
        <w:gridCol w:w="4680"/>
        <w:gridCol w:w="4680"/>
      </w:tblGrid>
      <w:tr>
        <w:tc>
          <w:tcPr>
            <w:tcW w:type="dxa" w:w="4680"/>
          </w:tcPr>
          <w:p>
            <w:pPr>
              <w:spacing w:before="20" w:after="20"/>
            </w:pPr>
            <w:r>
              <w:rPr>
                <w:sz w:val="18"/>
              </w:rPr>
              <w:t>Metric</w:t>
            </w:r>
          </w:p>
        </w:tc>
        <w:tc>
          <w:tcPr>
            <w:tcW w:type="dxa" w:w="4680"/>
          </w:tcPr>
          <w:p>
            <w:pPr>
              <w:spacing w:before="20" w:after="20"/>
            </w:pPr>
            <w:r>
              <w:rPr>
                <w:sz w:val="18"/>
              </w:rPr>
              <w:t>Target</w:t>
            </w:r>
          </w:p>
        </w:tc>
      </w:tr>
      <w:tr>
        <w:tc>
          <w:tcPr>
            <w:tcW w:type="dxa" w:w="4680"/>
          </w:tcPr>
          <w:p>
            <w:pPr>
              <w:spacing w:before="20" w:after="20"/>
            </w:pPr>
            <w:r>
              <w:rPr>
                <w:sz w:val="18"/>
              </w:rPr>
              <w:t>Concurrent Users</w:t>
            </w:r>
          </w:p>
        </w:tc>
        <w:tc>
          <w:tcPr>
            <w:tcW w:type="dxa" w:w="4680"/>
          </w:tcPr>
          <w:p>
            <w:pPr>
              <w:spacing w:before="20" w:after="20"/>
            </w:pPr>
            <w:r>
              <w:rPr>
                <w:sz w:val="18"/>
              </w:rPr>
              <w:t>30+ simultaneous users without degradation</w:t>
            </w:r>
          </w:p>
        </w:tc>
      </w:tr>
      <w:tr>
        <w:tc>
          <w:tcPr>
            <w:tcW w:type="dxa" w:w="4680"/>
          </w:tcPr>
          <w:p>
            <w:pPr>
              <w:spacing w:before="20" w:after="20"/>
            </w:pPr>
            <w:r>
              <w:rPr>
                <w:sz w:val="18"/>
              </w:rPr>
              <w:t>Page Load Time</w:t>
            </w:r>
          </w:p>
        </w:tc>
        <w:tc>
          <w:tcPr>
            <w:tcW w:type="dxa" w:w="4680"/>
          </w:tcPr>
          <w:p>
            <w:pPr>
              <w:spacing w:before="20" w:after="20"/>
            </w:pPr>
            <w:r>
              <w:rPr>
                <w:sz w:val="18"/>
              </w:rPr>
              <w:t>&lt; 2 seconds for dashboard views</w:t>
            </w:r>
          </w:p>
        </w:tc>
      </w:tr>
      <w:tr>
        <w:tc>
          <w:tcPr>
            <w:tcW w:type="dxa" w:w="4680"/>
          </w:tcPr>
          <w:p>
            <w:pPr>
              <w:spacing w:before="20" w:after="20"/>
            </w:pPr>
            <w:r>
              <w:rPr>
                <w:sz w:val="18"/>
              </w:rPr>
              <w:t>API Response Time</w:t>
            </w:r>
          </w:p>
        </w:tc>
        <w:tc>
          <w:tcPr>
            <w:tcW w:type="dxa" w:w="4680"/>
          </w:tcPr>
          <w:p>
            <w:pPr>
              <w:spacing w:before="20" w:after="20"/>
            </w:pPr>
            <w:r>
              <w:rPr>
                <w:sz w:val="18"/>
              </w:rPr>
              <w:t>&lt; 500ms for standard CRUD operations</w:t>
            </w:r>
          </w:p>
        </w:tc>
      </w:tr>
      <w:tr>
        <w:tc>
          <w:tcPr>
            <w:tcW w:type="dxa" w:w="4680"/>
          </w:tcPr>
          <w:p>
            <w:pPr>
              <w:spacing w:before="20" w:after="20"/>
            </w:pPr>
            <w:r>
              <w:rPr>
                <w:sz w:val="18"/>
              </w:rPr>
              <w:t>Search Response Time</w:t>
            </w:r>
          </w:p>
        </w:tc>
        <w:tc>
          <w:tcPr>
            <w:tcW w:type="dxa" w:w="4680"/>
          </w:tcPr>
          <w:p>
            <w:pPr>
              <w:spacing w:before="20" w:after="20"/>
            </w:pPr>
            <w:r>
              <w:rPr>
                <w:sz w:val="18"/>
              </w:rPr>
              <w:t>&lt; 200ms for full-text search queries</w:t>
            </w:r>
          </w:p>
        </w:tc>
      </w:tr>
      <w:tr>
        <w:tc>
          <w:tcPr>
            <w:tcW w:type="dxa" w:w="4680"/>
          </w:tcPr>
          <w:p>
            <w:pPr>
              <w:spacing w:before="20" w:after="20"/>
            </w:pPr>
            <w:r>
              <w:rPr>
                <w:sz w:val="18"/>
              </w:rPr>
              <w:t>Document Upload</w:t>
            </w:r>
          </w:p>
        </w:tc>
        <w:tc>
          <w:tcPr>
            <w:tcW w:type="dxa" w:w="4680"/>
          </w:tcPr>
          <w:p>
            <w:pPr>
              <w:spacing w:before="20" w:after="20"/>
            </w:pPr>
            <w:r>
              <w:rPr>
                <w:sz w:val="18"/>
              </w:rPr>
              <w:t>&lt; 5 seconds for files up to 50MB</w:t>
            </w:r>
          </w:p>
        </w:tc>
      </w:tr>
      <w:tr>
        <w:tc>
          <w:tcPr>
            <w:tcW w:type="dxa" w:w="4680"/>
          </w:tcPr>
          <w:p>
            <w:pPr>
              <w:spacing w:before="20" w:after="20"/>
            </w:pPr>
            <w:r>
              <w:rPr>
                <w:sz w:val="18"/>
              </w:rPr>
              <w:t>Report Generation</w:t>
            </w:r>
          </w:p>
        </w:tc>
        <w:tc>
          <w:tcPr>
            <w:tcW w:type="dxa" w:w="4680"/>
          </w:tcPr>
          <w:p>
            <w:pPr>
              <w:spacing w:before="20" w:after="20"/>
            </w:pPr>
            <w:r>
              <w:rPr>
                <w:sz w:val="18"/>
              </w:rPr>
              <w:t>&lt; 30 seconds for standard reports</w:t>
            </w:r>
          </w:p>
        </w:tc>
      </w:tr>
      <w:tr>
        <w:tc>
          <w:tcPr>
            <w:tcW w:type="dxa" w:w="4680"/>
          </w:tcPr>
          <w:p>
            <w:pPr>
              <w:spacing w:before="20" w:after="20"/>
            </w:pPr>
            <w:r>
              <w:rPr>
                <w:sz w:val="18"/>
              </w:rPr>
              <w:t>AI Algorithm Response</w:t>
            </w:r>
          </w:p>
        </w:tc>
        <w:tc>
          <w:tcPr>
            <w:tcW w:type="dxa" w:w="4680"/>
          </w:tcPr>
          <w:p>
            <w:pPr>
              <w:spacing w:before="20" w:after="20"/>
            </w:pPr>
            <w:r>
              <w:rPr>
                <w:sz w:val="18"/>
              </w:rPr>
              <w:t>&lt; 10 seconds for analytical operations</w:t>
            </w:r>
          </w:p>
        </w:tc>
      </w:tr>
    </w:tbl>
    <w:p/>
    <w:p>
      <w:pPr>
        <w:pStyle w:val="Heading2"/>
      </w:pPr>
      <w:r>
        <w:t>5.5 UAT Test Cases</w:t>
      </w:r>
    </w:p>
    <w:p>
      <w:pPr>
        <w:spacing w:after="80"/>
      </w:pPr>
      <w:r>
        <w:t>UAT test cases shall cover all 24 dashboard modules with scenario-based testing:</w:t>
      </w:r>
    </w:p>
    <w:p>
      <w:pPr>
        <w:pStyle w:val="ListNumber"/>
        <w:spacing w:before="20" w:after="20"/>
      </w:pPr>
      <w:r>
        <w:t>Complete case lifecycle: Intake, assignment, investigation, review, closure.</w:t>
      </w:r>
    </w:p>
    <w:p>
      <w:pPr>
        <w:pStyle w:val="ListNumber"/>
        <w:spacing w:before="20" w:after="20"/>
      </w:pPr>
      <w:r>
        <w:t>Preliminary inquiry creation and conversion to full case.</w:t>
      </w:r>
    </w:p>
    <w:p>
      <w:pPr>
        <w:pStyle w:val="ListNumber"/>
        <w:spacing w:before="20" w:after="20"/>
      </w:pPr>
      <w:r>
        <w:t>Subject creation with hierarchical relationships.</w:t>
      </w:r>
    </w:p>
    <w:p>
      <w:pPr>
        <w:pStyle w:val="ListNumber"/>
        <w:spacing w:before="20" w:after="20"/>
      </w:pPr>
      <w:r>
        <w:t>Document upload, version management, approval, and redaction.</w:t>
      </w:r>
    </w:p>
    <w:p>
      <w:pPr>
        <w:pStyle w:val="ListNumber"/>
        <w:spacing w:before="20" w:after="20"/>
      </w:pPr>
      <w:r>
        <w:t>Evidence collection with chain-of-custody documentation.</w:t>
      </w:r>
    </w:p>
    <w:p>
      <w:pPr>
        <w:pStyle w:val="ListNumber"/>
        <w:spacing w:before="20" w:after="20"/>
      </w:pPr>
      <w:r>
        <w:t>Workflow initiation and multi-step approval completion.</w:t>
      </w:r>
    </w:p>
    <w:p>
      <w:pPr>
        <w:pStyle w:val="ListNumber"/>
        <w:spacing w:before="20" w:after="20"/>
      </w:pPr>
      <w:r>
        <w:t>Time entry and timesheet submission with supervisor approval.</w:t>
      </w:r>
    </w:p>
    <w:p>
      <w:pPr>
        <w:pStyle w:val="ListNumber"/>
        <w:spacing w:before="20" w:after="20"/>
      </w:pPr>
      <w:r>
        <w:t>Training course assignment, completion, and evaluation.</w:t>
      </w:r>
    </w:p>
    <w:p>
      <w:pPr>
        <w:pStyle w:val="ListNumber"/>
        <w:spacing w:before="20" w:after="20"/>
      </w:pPr>
      <w:r>
        <w:t>Report creation, scheduling, and review workflow.</w:t>
      </w:r>
    </w:p>
    <w:p>
      <w:pPr>
        <w:pStyle w:val="ListNumber"/>
        <w:spacing w:before="20" w:after="20"/>
      </w:pPr>
      <w:r>
        <w:t>AI-powered risk assessment and case similarity analysis.</w:t>
      </w:r>
    </w:p>
    <w:p>
      <w:pPr>
        <w:pStyle w:val="Heading2"/>
      </w:pPr>
      <w:r>
        <w:t>5.6 Acceptance Criteria</w:t>
      </w:r>
    </w:p>
    <w:p>
      <w:pPr>
        <w:pStyle w:val="ListBullet"/>
        <w:spacing w:before="20" w:after="20"/>
      </w:pPr>
      <w:r>
        <w:t>All unit tests pass at 100%.</w:t>
      </w:r>
    </w:p>
    <w:p>
      <w:pPr>
        <w:pStyle w:val="ListBullet"/>
        <w:spacing w:before="20" w:after="20"/>
      </w:pPr>
      <w:r>
        <w:t>All critical and high-severity defects are resolved.</w:t>
      </w:r>
    </w:p>
    <w:p>
      <w:pPr>
        <w:pStyle w:val="ListBullet"/>
        <w:spacing w:before="20" w:after="20"/>
      </w:pPr>
      <w:r>
        <w:t>Security penetration test yields no unmitigated critical findings.</w:t>
      </w:r>
    </w:p>
    <w:p>
      <w:pPr>
        <w:pStyle w:val="ListBullet"/>
        <w:spacing w:before="20" w:after="20"/>
      </w:pPr>
      <w:r>
        <w:t>Performance benchmarks meet or exceed targets in Section 5.4.</w:t>
      </w:r>
    </w:p>
    <w:p>
      <w:pPr>
        <w:pStyle w:val="ListBullet"/>
        <w:spacing w:before="20" w:after="20"/>
      </w:pPr>
      <w:r>
        <w:t>UAT sign-off obtained from the Assistant IG for Investigations.</w:t>
      </w:r>
    </w:p>
    <w:p>
      <w:pPr>
        <w:pStyle w:val="ListBullet"/>
        <w:spacing w:before="20" w:after="20"/>
      </w:pPr>
      <w:r>
        <w:t>508 accessibility compliance validated to WCAG 2.1 AA.</w:t>
      </w:r>
    </w:p>
    <w:p>
      <w:r>
        <w:t>____________________________________________________________</w:t>
      </w:r>
    </w:p>
    <w:p>
      <w:pPr>
        <w:pStyle w:val="Heading1"/>
      </w:pPr>
      <w:r>
        <w:t>6. Training Plan</w:t>
      </w:r>
    </w:p>
    <w:p>
      <w:pPr>
        <w:pStyle w:val="Heading2"/>
      </w:pPr>
      <w:r>
        <w:t>6.1 Training Schedule by Role</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pPr>
              <w:spacing w:before="20" w:after="20"/>
            </w:pPr>
            <w:r>
              <w:rPr>
                <w:sz w:val="18"/>
              </w:rPr>
              <w:t>Role</w:t>
            </w:r>
          </w:p>
        </w:tc>
        <w:tc>
          <w:tcPr>
            <w:tcW w:type="dxa" w:w="2340"/>
          </w:tcPr>
          <w:p>
            <w:pPr>
              <w:spacing w:before="20" w:after="20"/>
            </w:pPr>
            <w:r>
              <w:rPr>
                <w:sz w:val="18"/>
              </w:rPr>
              <w:t>Training Duration</w:t>
            </w:r>
          </w:p>
        </w:tc>
        <w:tc>
          <w:tcPr>
            <w:tcW w:type="dxa" w:w="2340"/>
          </w:tcPr>
          <w:p>
            <w:pPr>
              <w:spacing w:before="20" w:after="20"/>
            </w:pPr>
            <w:r>
              <w:rPr>
                <w:sz w:val="18"/>
              </w:rPr>
              <w:t>Training Window</w:t>
            </w:r>
          </w:p>
        </w:tc>
        <w:tc>
          <w:tcPr>
            <w:tcW w:type="dxa" w:w="2340"/>
          </w:tcPr>
          <w:p>
            <w:pPr>
              <w:spacing w:before="20" w:after="20"/>
            </w:pPr>
            <w:r>
              <w:rPr>
                <w:sz w:val="18"/>
              </w:rPr>
              <w:t>Delivery Method</w:t>
            </w:r>
          </w:p>
        </w:tc>
      </w:tr>
      <w:tr>
        <w:tc>
          <w:tcPr>
            <w:tcW w:type="dxa" w:w="2340"/>
          </w:tcPr>
          <w:p>
            <w:pPr>
              <w:spacing w:before="20" w:after="20"/>
            </w:pPr>
            <w:r>
              <w:rPr>
                <w:sz w:val="18"/>
              </w:rPr>
              <w:t>Administrator</w:t>
            </w:r>
          </w:p>
        </w:tc>
        <w:tc>
          <w:tcPr>
            <w:tcW w:type="dxa" w:w="2340"/>
          </w:tcPr>
          <w:p>
            <w:pPr>
              <w:spacing w:before="20" w:after="20"/>
            </w:pPr>
            <w:r>
              <w:rPr>
                <w:sz w:val="18"/>
              </w:rPr>
              <w:t>8 hours</w:t>
            </w:r>
          </w:p>
        </w:tc>
        <w:tc>
          <w:tcPr>
            <w:tcW w:type="dxa" w:w="2340"/>
          </w:tcPr>
          <w:p>
            <w:pPr>
              <w:spacing w:before="20" w:after="20"/>
            </w:pPr>
            <w:r>
              <w:rPr>
                <w:sz w:val="18"/>
              </w:rPr>
              <w:t>Week 13</w:t>
            </w:r>
          </w:p>
        </w:tc>
        <w:tc>
          <w:tcPr>
            <w:tcW w:type="dxa" w:w="2340"/>
          </w:tcPr>
          <w:p>
            <w:pPr>
              <w:spacing w:before="20" w:after="20"/>
            </w:pPr>
            <w:r>
              <w:rPr>
                <w:sz w:val="18"/>
              </w:rPr>
              <w:t>In-person, hands-on</w:t>
            </w:r>
          </w:p>
        </w:tc>
      </w:tr>
      <w:tr>
        <w:tc>
          <w:tcPr>
            <w:tcW w:type="dxa" w:w="2340"/>
          </w:tcPr>
          <w:p>
            <w:pPr>
              <w:spacing w:before="20" w:after="20"/>
            </w:pPr>
            <w:r>
              <w:rPr>
                <w:sz w:val="18"/>
              </w:rPr>
              <w:t>Investigator</w:t>
            </w:r>
          </w:p>
        </w:tc>
        <w:tc>
          <w:tcPr>
            <w:tcW w:type="dxa" w:w="2340"/>
          </w:tcPr>
          <w:p>
            <w:pPr>
              <w:spacing w:before="20" w:after="20"/>
            </w:pPr>
            <w:r>
              <w:rPr>
                <w:sz w:val="18"/>
              </w:rPr>
              <w:t>6 hours</w:t>
            </w:r>
          </w:p>
        </w:tc>
        <w:tc>
          <w:tcPr>
            <w:tcW w:type="dxa" w:w="2340"/>
          </w:tcPr>
          <w:p>
            <w:pPr>
              <w:spacing w:before="20" w:after="20"/>
            </w:pPr>
            <w:r>
              <w:rPr>
                <w:sz w:val="18"/>
              </w:rPr>
              <w:t>Weeks 13--14</w:t>
            </w:r>
          </w:p>
        </w:tc>
        <w:tc>
          <w:tcPr>
            <w:tcW w:type="dxa" w:w="2340"/>
          </w:tcPr>
          <w:p>
            <w:pPr>
              <w:spacing w:before="20" w:after="20"/>
            </w:pPr>
            <w:r>
              <w:rPr>
                <w:sz w:val="18"/>
              </w:rPr>
              <w:t>In-person, hands-on</w:t>
            </w:r>
          </w:p>
        </w:tc>
      </w:tr>
      <w:tr>
        <w:tc>
          <w:tcPr>
            <w:tcW w:type="dxa" w:w="2340"/>
          </w:tcPr>
          <w:p>
            <w:pPr>
              <w:spacing w:before="20" w:after="20"/>
            </w:pPr>
            <w:r>
              <w:rPr>
                <w:sz w:val="18"/>
              </w:rPr>
              <w:t>Supervisor</w:t>
            </w:r>
          </w:p>
        </w:tc>
        <w:tc>
          <w:tcPr>
            <w:tcW w:type="dxa" w:w="2340"/>
          </w:tcPr>
          <w:p>
            <w:pPr>
              <w:spacing w:before="20" w:after="20"/>
            </w:pPr>
            <w:r>
              <w:rPr>
                <w:sz w:val="18"/>
              </w:rPr>
              <w:t>4 hours</w:t>
            </w:r>
          </w:p>
        </w:tc>
        <w:tc>
          <w:tcPr>
            <w:tcW w:type="dxa" w:w="2340"/>
          </w:tcPr>
          <w:p>
            <w:pPr>
              <w:spacing w:before="20" w:after="20"/>
            </w:pPr>
            <w:r>
              <w:rPr>
                <w:sz w:val="18"/>
              </w:rPr>
              <w:t>Week 13</w:t>
            </w:r>
          </w:p>
        </w:tc>
        <w:tc>
          <w:tcPr>
            <w:tcW w:type="dxa" w:w="2340"/>
          </w:tcPr>
          <w:p>
            <w:pPr>
              <w:spacing w:before="20" w:after="20"/>
            </w:pPr>
            <w:r>
              <w:rPr>
                <w:sz w:val="18"/>
              </w:rPr>
              <w:t>In-person, hands-on</w:t>
            </w:r>
          </w:p>
        </w:tc>
      </w:tr>
      <w:tr>
        <w:tc>
          <w:tcPr>
            <w:tcW w:type="dxa" w:w="2340"/>
          </w:tcPr>
          <w:p>
            <w:pPr>
              <w:spacing w:before="20" w:after="20"/>
            </w:pPr>
            <w:r>
              <w:rPr>
                <w:sz w:val="18"/>
              </w:rPr>
              <w:t>Analyst</w:t>
            </w:r>
          </w:p>
        </w:tc>
        <w:tc>
          <w:tcPr>
            <w:tcW w:type="dxa" w:w="2340"/>
          </w:tcPr>
          <w:p>
            <w:pPr>
              <w:spacing w:before="20" w:after="20"/>
            </w:pPr>
            <w:r>
              <w:rPr>
                <w:sz w:val="18"/>
              </w:rPr>
              <w:t>4 hours</w:t>
            </w:r>
          </w:p>
        </w:tc>
        <w:tc>
          <w:tcPr>
            <w:tcW w:type="dxa" w:w="2340"/>
          </w:tcPr>
          <w:p>
            <w:pPr>
              <w:spacing w:before="20" w:after="20"/>
            </w:pPr>
            <w:r>
              <w:rPr>
                <w:sz w:val="18"/>
              </w:rPr>
              <w:t>Week 14</w:t>
            </w:r>
          </w:p>
        </w:tc>
        <w:tc>
          <w:tcPr>
            <w:tcW w:type="dxa" w:w="2340"/>
          </w:tcPr>
          <w:p>
            <w:pPr>
              <w:spacing w:before="20" w:after="20"/>
            </w:pPr>
            <w:r>
              <w:rPr>
                <w:sz w:val="18"/>
              </w:rPr>
              <w:t>In-person, hands-on</w:t>
            </w:r>
          </w:p>
        </w:tc>
      </w:tr>
      <w:tr>
        <w:tc>
          <w:tcPr>
            <w:tcW w:type="dxa" w:w="2340"/>
          </w:tcPr>
          <w:p>
            <w:pPr>
              <w:spacing w:before="20" w:after="20"/>
            </w:pPr>
            <w:r>
              <w:rPr>
                <w:sz w:val="18"/>
              </w:rPr>
              <w:t>Auditor</w:t>
            </w:r>
          </w:p>
        </w:tc>
        <w:tc>
          <w:tcPr>
            <w:tcW w:type="dxa" w:w="2340"/>
          </w:tcPr>
          <w:p>
            <w:pPr>
              <w:spacing w:before="20" w:after="20"/>
            </w:pPr>
            <w:r>
              <w:rPr>
                <w:sz w:val="18"/>
              </w:rPr>
              <w:t>3 hours</w:t>
            </w:r>
          </w:p>
        </w:tc>
        <w:tc>
          <w:tcPr>
            <w:tcW w:type="dxa" w:w="2340"/>
          </w:tcPr>
          <w:p>
            <w:pPr>
              <w:spacing w:before="20" w:after="20"/>
            </w:pPr>
            <w:r>
              <w:rPr>
                <w:sz w:val="18"/>
              </w:rPr>
              <w:t>Week 14</w:t>
            </w:r>
          </w:p>
        </w:tc>
        <w:tc>
          <w:tcPr>
            <w:tcW w:type="dxa" w:w="2340"/>
          </w:tcPr>
          <w:p>
            <w:pPr>
              <w:spacing w:before="20" w:after="20"/>
            </w:pPr>
            <w:r>
              <w:rPr>
                <w:sz w:val="18"/>
              </w:rPr>
              <w:t>In-person, hands-on</w:t>
            </w:r>
          </w:p>
        </w:tc>
      </w:tr>
      <w:tr>
        <w:tc>
          <w:tcPr>
            <w:tcW w:type="dxa" w:w="2340"/>
          </w:tcPr>
          <w:p>
            <w:pPr>
              <w:spacing w:before="20" w:after="20"/>
            </w:pPr>
            <w:r>
              <w:rPr>
                <w:sz w:val="18"/>
              </w:rPr>
              <w:t>Read-Only</w:t>
            </w:r>
          </w:p>
        </w:tc>
        <w:tc>
          <w:tcPr>
            <w:tcW w:type="dxa" w:w="2340"/>
          </w:tcPr>
          <w:p>
            <w:pPr>
              <w:spacing w:before="20" w:after="20"/>
            </w:pPr>
            <w:r>
              <w:rPr>
                <w:sz w:val="18"/>
              </w:rPr>
              <w:t>2 hours</w:t>
            </w:r>
          </w:p>
        </w:tc>
        <w:tc>
          <w:tcPr>
            <w:tcW w:type="dxa" w:w="2340"/>
          </w:tcPr>
          <w:p>
            <w:pPr>
              <w:spacing w:before="20" w:after="20"/>
            </w:pPr>
            <w:r>
              <w:rPr>
                <w:sz w:val="18"/>
              </w:rPr>
              <w:t>Week 14</w:t>
            </w:r>
          </w:p>
        </w:tc>
        <w:tc>
          <w:tcPr>
            <w:tcW w:type="dxa" w:w="2340"/>
          </w:tcPr>
          <w:p>
            <w:pPr>
              <w:spacing w:before="20" w:after="20"/>
            </w:pPr>
            <w:r>
              <w:rPr>
                <w:sz w:val="18"/>
              </w:rPr>
              <w:t>Virtual, recorded</w:t>
            </w:r>
          </w:p>
        </w:tc>
      </w:tr>
    </w:tbl>
    <w:p/>
    <w:p>
      <w:pPr>
        <w:pStyle w:val="Heading2"/>
      </w:pPr>
      <w:r>
        <w:t>6.2 Training Materials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spacing w:before="20" w:after="20"/>
            </w:pPr>
            <w:r>
              <w:rPr>
                <w:sz w:val="18"/>
              </w:rPr>
              <w:t>Material</w:t>
            </w:r>
          </w:p>
        </w:tc>
        <w:tc>
          <w:tcPr>
            <w:tcW w:type="dxa" w:w="3120"/>
          </w:tcPr>
          <w:p>
            <w:pPr>
              <w:spacing w:before="20" w:after="20"/>
            </w:pPr>
            <w:r>
              <w:rPr>
                <w:sz w:val="18"/>
              </w:rPr>
              <w:t>Format</w:t>
            </w:r>
          </w:p>
        </w:tc>
        <w:tc>
          <w:tcPr>
            <w:tcW w:type="dxa" w:w="3120"/>
          </w:tcPr>
          <w:p>
            <w:pPr>
              <w:spacing w:before="20" w:after="20"/>
            </w:pPr>
            <w:r>
              <w:rPr>
                <w:sz w:val="18"/>
              </w:rPr>
              <w:t>Audience</w:t>
            </w:r>
          </w:p>
        </w:tc>
      </w:tr>
      <w:tr>
        <w:tc>
          <w:tcPr>
            <w:tcW w:type="dxa" w:w="3120"/>
          </w:tcPr>
          <w:p>
            <w:pPr>
              <w:spacing w:before="20" w:after="20"/>
            </w:pPr>
            <w:r>
              <w:rPr>
                <w:sz w:val="18"/>
              </w:rPr>
              <w:t>OIG-ITS User Manual</w:t>
            </w:r>
          </w:p>
        </w:tc>
        <w:tc>
          <w:tcPr>
            <w:tcW w:type="dxa" w:w="3120"/>
          </w:tcPr>
          <w:p>
            <w:pPr>
              <w:spacing w:before="20" w:after="20"/>
            </w:pPr>
            <w:r>
              <w:rPr>
                <w:sz w:val="18"/>
              </w:rPr>
              <w:t>PDF (print-ready)</w:t>
            </w:r>
          </w:p>
        </w:tc>
        <w:tc>
          <w:tcPr>
            <w:tcW w:type="dxa" w:w="3120"/>
          </w:tcPr>
          <w:p>
            <w:pPr>
              <w:spacing w:before="20" w:after="20"/>
            </w:pPr>
            <w:r>
              <w:rPr>
                <w:sz w:val="18"/>
              </w:rPr>
              <w:t>All users</w:t>
            </w:r>
          </w:p>
        </w:tc>
      </w:tr>
      <w:tr>
        <w:tc>
          <w:tcPr>
            <w:tcW w:type="dxa" w:w="3120"/>
          </w:tcPr>
          <w:p>
            <w:pPr>
              <w:spacing w:before="20" w:after="20"/>
            </w:pPr>
            <w:r>
              <w:rPr>
                <w:sz w:val="18"/>
              </w:rPr>
              <w:t>Quick Reference Cards (per role)</w:t>
            </w:r>
          </w:p>
        </w:tc>
        <w:tc>
          <w:tcPr>
            <w:tcW w:type="dxa" w:w="3120"/>
          </w:tcPr>
          <w:p>
            <w:pPr>
              <w:spacing w:before="20" w:after="20"/>
            </w:pPr>
            <w:r>
              <w:rPr>
                <w:sz w:val="18"/>
              </w:rPr>
              <w:t>Laminated, 2-sided</w:t>
            </w:r>
          </w:p>
        </w:tc>
        <w:tc>
          <w:tcPr>
            <w:tcW w:type="dxa" w:w="3120"/>
          </w:tcPr>
          <w:p>
            <w:pPr>
              <w:spacing w:before="20" w:after="20"/>
            </w:pPr>
            <w:r>
              <w:rPr>
                <w:sz w:val="18"/>
              </w:rPr>
              <w:t>All users</w:t>
            </w:r>
          </w:p>
        </w:tc>
      </w:tr>
      <w:tr>
        <w:tc>
          <w:tcPr>
            <w:tcW w:type="dxa" w:w="3120"/>
          </w:tcPr>
          <w:p>
            <w:pPr>
              <w:spacing w:before="20" w:after="20"/>
            </w:pPr>
            <w:r>
              <w:rPr>
                <w:sz w:val="18"/>
              </w:rPr>
              <w:t>System Demo Video</w:t>
            </w:r>
          </w:p>
        </w:tc>
        <w:tc>
          <w:tcPr>
            <w:tcW w:type="dxa" w:w="3120"/>
          </w:tcPr>
          <w:p>
            <w:pPr>
              <w:spacing w:before="20" w:after="20"/>
            </w:pPr>
            <w:r>
              <w:rPr>
                <w:sz w:val="18"/>
              </w:rPr>
              <w:t>MP4 (4:38 duration)</w:t>
            </w:r>
          </w:p>
        </w:tc>
        <w:tc>
          <w:tcPr>
            <w:tcW w:type="dxa" w:w="3120"/>
          </w:tcPr>
          <w:p>
            <w:pPr>
              <w:spacing w:before="20" w:after="20"/>
            </w:pPr>
            <w:r>
              <w:rPr>
                <w:sz w:val="18"/>
              </w:rPr>
              <w:t>All users</w:t>
            </w:r>
          </w:p>
        </w:tc>
      </w:tr>
      <w:tr>
        <w:tc>
          <w:tcPr>
            <w:tcW w:type="dxa" w:w="3120"/>
          </w:tcPr>
          <w:p>
            <w:pPr>
              <w:spacing w:before="20" w:after="20"/>
            </w:pPr>
            <w:r>
              <w:rPr>
                <w:sz w:val="18"/>
              </w:rPr>
              <w:t>Administrator Guide</w:t>
            </w:r>
          </w:p>
        </w:tc>
        <w:tc>
          <w:tcPr>
            <w:tcW w:type="dxa" w:w="3120"/>
          </w:tcPr>
          <w:p>
            <w:pPr>
              <w:spacing w:before="20" w:after="20"/>
            </w:pPr>
            <w:r>
              <w:rPr>
                <w:sz w:val="18"/>
              </w:rPr>
              <w:t>PDF</w:t>
            </w:r>
          </w:p>
        </w:tc>
        <w:tc>
          <w:tcPr>
            <w:tcW w:type="dxa" w:w="3120"/>
          </w:tcPr>
          <w:p>
            <w:pPr>
              <w:spacing w:before="20" w:after="20"/>
            </w:pPr>
            <w:r>
              <w:rPr>
                <w:sz w:val="18"/>
              </w:rPr>
              <w:t>IT Administrators</w:t>
            </w:r>
          </w:p>
        </w:tc>
      </w:tr>
      <w:tr>
        <w:tc>
          <w:tcPr>
            <w:tcW w:type="dxa" w:w="3120"/>
          </w:tcPr>
          <w:p>
            <w:pPr>
              <w:spacing w:before="20" w:after="20"/>
            </w:pPr>
            <w:r>
              <w:rPr>
                <w:sz w:val="18"/>
              </w:rPr>
              <w:t>Data Migration Reference Guide</w:t>
            </w:r>
          </w:p>
        </w:tc>
        <w:tc>
          <w:tcPr>
            <w:tcW w:type="dxa" w:w="3120"/>
          </w:tcPr>
          <w:p>
            <w:pPr>
              <w:spacing w:before="20" w:after="20"/>
            </w:pPr>
            <w:r>
              <w:rPr>
                <w:sz w:val="18"/>
              </w:rPr>
              <w:t>PDF</w:t>
            </w:r>
          </w:p>
        </w:tc>
        <w:tc>
          <w:tcPr>
            <w:tcW w:type="dxa" w:w="3120"/>
          </w:tcPr>
          <w:p>
            <w:pPr>
              <w:spacing w:before="20" w:after="20"/>
            </w:pPr>
            <w:r>
              <w:rPr>
                <w:sz w:val="18"/>
              </w:rPr>
              <w:t>IT Staff</w:t>
            </w:r>
          </w:p>
        </w:tc>
      </w:tr>
      <w:tr>
        <w:tc>
          <w:tcPr>
            <w:tcW w:type="dxa" w:w="3120"/>
          </w:tcPr>
          <w:p>
            <w:pPr>
              <w:spacing w:before="20" w:after="20"/>
            </w:pPr>
            <w:r>
              <w:rPr>
                <w:sz w:val="18"/>
              </w:rPr>
              <w:t>Security Configuration Guide</w:t>
            </w:r>
          </w:p>
        </w:tc>
        <w:tc>
          <w:tcPr>
            <w:tcW w:type="dxa" w:w="3120"/>
          </w:tcPr>
          <w:p>
            <w:pPr>
              <w:spacing w:before="20" w:after="20"/>
            </w:pPr>
            <w:r>
              <w:rPr>
                <w:sz w:val="18"/>
              </w:rPr>
              <w:t>PDF (FOUO)</w:t>
            </w:r>
          </w:p>
        </w:tc>
        <w:tc>
          <w:tcPr>
            <w:tcW w:type="dxa" w:w="3120"/>
          </w:tcPr>
          <w:p>
            <w:pPr>
              <w:spacing w:before="20" w:after="20"/>
            </w:pPr>
            <w:r>
              <w:rPr>
                <w:sz w:val="18"/>
              </w:rPr>
              <w:t>ISSO, IT Staff</w:t>
            </w:r>
          </w:p>
        </w:tc>
      </w:tr>
    </w:tbl>
    <w:p/>
    <w:p>
      <w:pPr>
        <w:pStyle w:val="Heading2"/>
      </w:pPr>
      <w:r>
        <w:t>6.3 Train-the-Trainer Approach</w:t>
      </w:r>
    </w:p>
    <w:p>
      <w:pPr>
        <w:spacing w:after="80"/>
      </w:pPr>
      <w:r>
        <w:t>OIG-ITS shall adopt a train-the-trainer model to ensure sustainable knowledge transfer:</w:t>
      </w:r>
    </w:p>
    <w:p>
      <w:pPr>
        <w:pStyle w:val="ListNumber"/>
        <w:spacing w:before="20" w:after="20"/>
      </w:pPr>
      <w:r>
        <w:t>Master Trainers: Two to three staff members per regional office shall be designated as Master Trainers.</w:t>
      </w:r>
    </w:p>
    <w:p>
      <w:pPr>
        <w:pStyle w:val="ListNumber"/>
        <w:spacing w:before="20" w:after="20"/>
      </w:pPr>
      <w:r>
        <w:t>Master Trainer Certification: Master Trainers shall complete the full 8-hour administrator training plus a 4-hour training facilitation workshop.</w:t>
      </w:r>
    </w:p>
    <w:p>
      <w:pPr>
        <w:pStyle w:val="ListNumber"/>
        <w:spacing w:before="20" w:after="20"/>
      </w:pPr>
      <w:r>
        <w:t>Ongoing Training Delivery: Master Trainers shall be responsible for onboarding new personnel and delivering refresher training on a quarterly basis.</w:t>
      </w:r>
    </w:p>
    <w:p>
      <w:pPr>
        <w:pStyle w:val="ListNumber"/>
        <w:spacing w:before="20" w:after="20"/>
      </w:pPr>
      <w:r>
        <w:t>Training Materials Maintenance: Master Trainers shall coordinate with the IT Division to update training materials following system updates.</w:t>
      </w:r>
    </w:p>
    <w:p>
      <w:pPr>
        <w:pStyle w:val="Heading2"/>
      </w:pPr>
      <w:r>
        <w:t>6.4 Ongoing Support Plan</w:t>
      </w:r>
    </w:p>
    <w:p>
      <w:pPr>
        <w:pStyle w:val="ListBullet"/>
        <w:spacing w:before="20" w:after="20"/>
      </w:pPr>
      <w:r>
        <w:t>Help Desk Integration: OIG-ITS support tier integrated into existing agency help desk (Tier 1 triage, Tier 2 application support, Tier 3 development team escalation).</w:t>
      </w:r>
    </w:p>
    <w:p>
      <w:pPr>
        <w:pStyle w:val="ListBullet"/>
        <w:spacing w:before="20" w:after="20"/>
      </w:pPr>
      <w:r>
        <w:t>Knowledge Base: Searchable FAQ and troubleshooting articles maintained in the agency intranet.</w:t>
      </w:r>
    </w:p>
    <w:p>
      <w:pPr>
        <w:pStyle w:val="ListBullet"/>
        <w:spacing w:before="20" w:after="20"/>
      </w:pPr>
      <w:r>
        <w:t>Office Hours: Weekly virtual office hours during the first 90 days post-go-live.</w:t>
      </w:r>
    </w:p>
    <w:p>
      <w:pPr>
        <w:pStyle w:val="ListBullet"/>
        <w:spacing w:before="20" w:after="20"/>
      </w:pPr>
      <w:r>
        <w:t>Feedback Channel: Dedicated feedback mechanism within the application for enhancement requests.</w:t>
      </w:r>
    </w:p>
    <w:p>
      <w:r>
        <w:t>____________________________________________________________</w:t>
      </w:r>
    </w:p>
    <w:p>
      <w:pPr>
        <w:pStyle w:val="Heading1"/>
      </w:pPr>
      <w:r>
        <w:t>7. Risk Management</w:t>
      </w:r>
    </w:p>
    <w:p>
      <w:pPr>
        <w:pStyle w:val="Heading2"/>
      </w:pPr>
      <w:r>
        <w:t>7.1 Risk Register</w:t>
      </w:r>
    </w:p>
    <w:tbl>
      <w:tblPr>
        <w:tblStyle w:val="LightGrid-Accent1"/>
        <w:tblW w:type="auto" w:w="0"/>
        <w:jc w:val="left"/>
        <w:tblLook w:firstColumn="1" w:firstRow="1" w:lastColumn="0" w:lastRow="0" w:noHBand="0" w:noVBand="1" w:val="04A0"/>
      </w:tblPr>
      <w:tblGrid>
        <w:gridCol w:w="1872"/>
        <w:gridCol w:w="1872"/>
        <w:gridCol w:w="1872"/>
        <w:gridCol w:w="1872"/>
        <w:gridCol w:w="1872"/>
      </w:tblGrid>
      <w:tr>
        <w:tc>
          <w:tcPr>
            <w:tcW w:type="dxa" w:w="1872"/>
          </w:tcPr>
          <w:p>
            <w:pPr>
              <w:spacing w:before="20" w:after="20"/>
            </w:pPr>
            <w:r>
              <w:rPr>
                <w:sz w:val="18"/>
              </w:rPr>
              <w:t>ID</w:t>
            </w:r>
          </w:p>
        </w:tc>
        <w:tc>
          <w:tcPr>
            <w:tcW w:type="dxa" w:w="1872"/>
          </w:tcPr>
          <w:p>
            <w:pPr>
              <w:spacing w:before="20" w:after="20"/>
            </w:pPr>
            <w:r>
              <w:rPr>
                <w:sz w:val="18"/>
              </w:rPr>
              <w:t>Risk Description</w:t>
            </w:r>
          </w:p>
        </w:tc>
        <w:tc>
          <w:tcPr>
            <w:tcW w:type="dxa" w:w="1872"/>
          </w:tcPr>
          <w:p>
            <w:pPr>
              <w:spacing w:before="20" w:after="20"/>
            </w:pPr>
            <w:r>
              <w:rPr>
                <w:sz w:val="18"/>
              </w:rPr>
              <w:t>Probability</w:t>
            </w:r>
          </w:p>
        </w:tc>
        <w:tc>
          <w:tcPr>
            <w:tcW w:type="dxa" w:w="1872"/>
          </w:tcPr>
          <w:p>
            <w:pPr>
              <w:spacing w:before="20" w:after="20"/>
            </w:pPr>
            <w:r>
              <w:rPr>
                <w:sz w:val="18"/>
              </w:rPr>
              <w:t>Impact</w:t>
            </w:r>
          </w:p>
        </w:tc>
        <w:tc>
          <w:tcPr>
            <w:tcW w:type="dxa" w:w="1872"/>
          </w:tcPr>
          <w:p>
            <w:pPr>
              <w:spacing w:before="20" w:after="20"/>
            </w:pPr>
            <w:r>
              <w:rPr>
                <w:sz w:val="18"/>
              </w:rPr>
              <w:t>Mitigation Strategy</w:t>
            </w:r>
          </w:p>
        </w:tc>
      </w:tr>
      <w:tr>
        <w:tc>
          <w:tcPr>
            <w:tcW w:type="dxa" w:w="1872"/>
          </w:tcPr>
          <w:p>
            <w:pPr>
              <w:spacing w:before="20" w:after="20"/>
            </w:pPr>
            <w:r>
              <w:rPr>
                <w:sz w:val="18"/>
              </w:rPr>
              <w:t>R-01</w:t>
            </w:r>
          </w:p>
        </w:tc>
        <w:tc>
          <w:tcPr>
            <w:tcW w:type="dxa" w:w="1872"/>
          </w:tcPr>
          <w:p>
            <w:pPr>
              <w:spacing w:before="20" w:after="20"/>
            </w:pPr>
            <w:r>
              <w:rPr>
                <w:sz w:val="18"/>
              </w:rPr>
              <w:t>Legacy data quality issues cause migration delays</w:t>
            </w:r>
          </w:p>
        </w:tc>
        <w:tc>
          <w:tcPr>
            <w:tcW w:type="dxa" w:w="1872"/>
          </w:tcPr>
          <w:p>
            <w:pPr>
              <w:spacing w:before="20" w:after="20"/>
            </w:pPr>
            <w:r>
              <w:rPr>
                <w:sz w:val="18"/>
              </w:rPr>
              <w:t>High</w:t>
            </w:r>
          </w:p>
        </w:tc>
        <w:tc>
          <w:tcPr>
            <w:tcW w:type="dxa" w:w="1872"/>
          </w:tcPr>
          <w:p>
            <w:pPr>
              <w:spacing w:before="20" w:after="20"/>
            </w:pPr>
            <w:r>
              <w:rPr>
                <w:sz w:val="18"/>
              </w:rPr>
              <w:t>High</w:t>
            </w:r>
          </w:p>
        </w:tc>
        <w:tc>
          <w:tcPr>
            <w:tcW w:type="dxa" w:w="1872"/>
          </w:tcPr>
          <w:p>
            <w:pPr>
              <w:spacing w:before="20" w:after="20"/>
            </w:pPr>
            <w:r>
              <w:rPr>
                <w:sz w:val="18"/>
              </w:rPr>
              <w:t>Conduct early data profiling; build data cleansing into migration scripts</w:t>
            </w:r>
          </w:p>
        </w:tc>
      </w:tr>
      <w:tr>
        <w:tc>
          <w:tcPr>
            <w:tcW w:type="dxa" w:w="1872"/>
          </w:tcPr>
          <w:p>
            <w:pPr>
              <w:spacing w:before="20" w:after="20"/>
            </w:pPr>
            <w:r>
              <w:rPr>
                <w:sz w:val="18"/>
              </w:rPr>
              <w:t>R-02</w:t>
            </w:r>
          </w:p>
        </w:tc>
        <w:tc>
          <w:tcPr>
            <w:tcW w:type="dxa" w:w="1872"/>
          </w:tcPr>
          <w:p>
            <w:pPr>
              <w:spacing w:before="20" w:after="20"/>
            </w:pPr>
            <w:r>
              <w:rPr>
                <w:sz w:val="18"/>
              </w:rPr>
              <w:t>User resistance to new system</w:t>
            </w:r>
          </w:p>
        </w:tc>
        <w:tc>
          <w:tcPr>
            <w:tcW w:type="dxa" w:w="1872"/>
          </w:tcPr>
          <w:p>
            <w:pPr>
              <w:spacing w:before="20" w:after="20"/>
            </w:pPr>
            <w:r>
              <w:rPr>
                <w:sz w:val="18"/>
              </w:rPr>
              <w:t>Medium</w:t>
            </w:r>
          </w:p>
        </w:tc>
        <w:tc>
          <w:tcPr>
            <w:tcW w:type="dxa" w:w="1872"/>
          </w:tcPr>
          <w:p>
            <w:pPr>
              <w:spacing w:before="20" w:after="20"/>
            </w:pPr>
            <w:r>
              <w:rPr>
                <w:sz w:val="18"/>
              </w:rPr>
              <w:t>High</w:t>
            </w:r>
          </w:p>
        </w:tc>
        <w:tc>
          <w:tcPr>
            <w:tcW w:type="dxa" w:w="1872"/>
          </w:tcPr>
          <w:p>
            <w:pPr>
              <w:spacing w:before="20" w:after="20"/>
            </w:pPr>
            <w:r>
              <w:rPr>
                <w:sz w:val="18"/>
              </w:rPr>
              <w:t>Comprehensive training; executive communications; champion network</w:t>
            </w:r>
          </w:p>
        </w:tc>
      </w:tr>
      <w:tr>
        <w:tc>
          <w:tcPr>
            <w:tcW w:type="dxa" w:w="1872"/>
          </w:tcPr>
          <w:p>
            <w:pPr>
              <w:spacing w:before="20" w:after="20"/>
            </w:pPr>
            <w:r>
              <w:rPr>
                <w:sz w:val="18"/>
              </w:rPr>
              <w:t>R-03</w:t>
            </w:r>
          </w:p>
        </w:tc>
        <w:tc>
          <w:tcPr>
            <w:tcW w:type="dxa" w:w="1872"/>
          </w:tcPr>
          <w:p>
            <w:pPr>
              <w:spacing w:before="20" w:after="20"/>
            </w:pPr>
            <w:r>
              <w:rPr>
                <w:sz w:val="18"/>
              </w:rPr>
              <w:t>Infrastructure provisioning delays</w:t>
            </w:r>
          </w:p>
        </w:tc>
        <w:tc>
          <w:tcPr>
            <w:tcW w:type="dxa" w:w="1872"/>
          </w:tcPr>
          <w:p>
            <w:pPr>
              <w:spacing w:before="20" w:after="20"/>
            </w:pPr>
            <w:r>
              <w:rPr>
                <w:sz w:val="18"/>
              </w:rPr>
              <w:t>Medium</w:t>
            </w:r>
          </w:p>
        </w:tc>
        <w:tc>
          <w:tcPr>
            <w:tcW w:type="dxa" w:w="1872"/>
          </w:tcPr>
          <w:p>
            <w:pPr>
              <w:spacing w:before="20" w:after="20"/>
            </w:pPr>
            <w:r>
              <w:rPr>
                <w:sz w:val="18"/>
              </w:rPr>
              <w:t>High</w:t>
            </w:r>
          </w:p>
        </w:tc>
        <w:tc>
          <w:tcPr>
            <w:tcW w:type="dxa" w:w="1872"/>
          </w:tcPr>
          <w:p>
            <w:pPr>
              <w:spacing w:before="20" w:after="20"/>
            </w:pPr>
            <w:r>
              <w:rPr>
                <w:sz w:val="18"/>
              </w:rPr>
              <w:t>Early procurement; pre-staged Docker images; contingency cloud hosting</w:t>
            </w:r>
          </w:p>
        </w:tc>
      </w:tr>
      <w:tr>
        <w:tc>
          <w:tcPr>
            <w:tcW w:type="dxa" w:w="1872"/>
          </w:tcPr>
          <w:p>
            <w:pPr>
              <w:spacing w:before="20" w:after="20"/>
            </w:pPr>
            <w:r>
              <w:rPr>
                <w:sz w:val="18"/>
              </w:rPr>
              <w:t>R-04</w:t>
            </w:r>
          </w:p>
        </w:tc>
        <w:tc>
          <w:tcPr>
            <w:tcW w:type="dxa" w:w="1872"/>
          </w:tcPr>
          <w:p>
            <w:pPr>
              <w:spacing w:before="20" w:after="20"/>
            </w:pPr>
            <w:r>
              <w:rPr>
                <w:sz w:val="18"/>
              </w:rPr>
              <w:t>Security vulnerabilities discovered during pen test</w:t>
            </w:r>
          </w:p>
        </w:tc>
        <w:tc>
          <w:tcPr>
            <w:tcW w:type="dxa" w:w="1872"/>
          </w:tcPr>
          <w:p>
            <w:pPr>
              <w:spacing w:before="20" w:after="20"/>
            </w:pPr>
            <w:r>
              <w:rPr>
                <w:sz w:val="18"/>
              </w:rPr>
              <w:t>Medium</w:t>
            </w:r>
          </w:p>
        </w:tc>
        <w:tc>
          <w:tcPr>
            <w:tcW w:type="dxa" w:w="1872"/>
          </w:tcPr>
          <w:p>
            <w:pPr>
              <w:spacing w:before="20" w:after="20"/>
            </w:pPr>
            <w:r>
              <w:rPr>
                <w:sz w:val="18"/>
              </w:rPr>
              <w:t>Critical</w:t>
            </w:r>
          </w:p>
        </w:tc>
        <w:tc>
          <w:tcPr>
            <w:tcW w:type="dxa" w:w="1872"/>
          </w:tcPr>
          <w:p>
            <w:pPr>
              <w:spacing w:before="20" w:after="20"/>
            </w:pPr>
            <w:r>
              <w:rPr>
                <w:sz w:val="18"/>
              </w:rPr>
              <w:t>Allocate remediation sprint in schedule; prioritize findings by severity</w:t>
            </w:r>
          </w:p>
        </w:tc>
      </w:tr>
      <w:tr>
        <w:tc>
          <w:tcPr>
            <w:tcW w:type="dxa" w:w="1872"/>
          </w:tcPr>
          <w:p>
            <w:pPr>
              <w:spacing w:before="20" w:after="20"/>
            </w:pPr>
            <w:r>
              <w:rPr>
                <w:sz w:val="18"/>
              </w:rPr>
              <w:t>R-05</w:t>
            </w:r>
          </w:p>
        </w:tc>
        <w:tc>
          <w:tcPr>
            <w:tcW w:type="dxa" w:w="1872"/>
          </w:tcPr>
          <w:p>
            <w:pPr>
              <w:spacing w:before="20" w:after="20"/>
            </w:pPr>
            <w:r>
              <w:rPr>
                <w:sz w:val="18"/>
              </w:rPr>
              <w:t>Performance degradation under concurrent load</w:t>
            </w:r>
          </w:p>
        </w:tc>
        <w:tc>
          <w:tcPr>
            <w:tcW w:type="dxa" w:w="1872"/>
          </w:tcPr>
          <w:p>
            <w:pPr>
              <w:spacing w:before="20" w:after="20"/>
            </w:pPr>
            <w:r>
              <w:rPr>
                <w:sz w:val="18"/>
              </w:rPr>
              <w:t>Low</w:t>
            </w:r>
          </w:p>
        </w:tc>
        <w:tc>
          <w:tcPr>
            <w:tcW w:type="dxa" w:w="1872"/>
          </w:tcPr>
          <w:p>
            <w:pPr>
              <w:spacing w:before="20" w:after="20"/>
            </w:pPr>
            <w:r>
              <w:rPr>
                <w:sz w:val="18"/>
              </w:rPr>
              <w:t>High</w:t>
            </w:r>
          </w:p>
        </w:tc>
        <w:tc>
          <w:tcPr>
            <w:tcW w:type="dxa" w:w="1872"/>
          </w:tcPr>
          <w:p>
            <w:pPr>
              <w:spacing w:before="20" w:after="20"/>
            </w:pPr>
            <w:r>
              <w:rPr>
                <w:sz w:val="18"/>
              </w:rPr>
              <w:t>Early performance testing; database index optimization; caching strategy</w:t>
            </w:r>
          </w:p>
        </w:tc>
      </w:tr>
      <w:tr>
        <w:tc>
          <w:tcPr>
            <w:tcW w:type="dxa" w:w="1872"/>
          </w:tcPr>
          <w:p>
            <w:pPr>
              <w:spacing w:before="20" w:after="20"/>
            </w:pPr>
            <w:r>
              <w:rPr>
                <w:sz w:val="18"/>
              </w:rPr>
              <w:t>R-06</w:t>
            </w:r>
          </w:p>
        </w:tc>
        <w:tc>
          <w:tcPr>
            <w:tcW w:type="dxa" w:w="1872"/>
          </w:tcPr>
          <w:p>
            <w:pPr>
              <w:spacing w:before="20" w:after="20"/>
            </w:pPr>
            <w:r>
              <w:rPr>
                <w:sz w:val="18"/>
              </w:rPr>
              <w:t>ATO approval timeline exceeds plan</w:t>
            </w:r>
          </w:p>
        </w:tc>
        <w:tc>
          <w:tcPr>
            <w:tcW w:type="dxa" w:w="1872"/>
          </w:tcPr>
          <w:p>
            <w:pPr>
              <w:spacing w:before="20" w:after="20"/>
            </w:pPr>
            <w:r>
              <w:rPr>
                <w:sz w:val="18"/>
              </w:rPr>
              <w:t>Medium</w:t>
            </w:r>
          </w:p>
        </w:tc>
        <w:tc>
          <w:tcPr>
            <w:tcW w:type="dxa" w:w="1872"/>
          </w:tcPr>
          <w:p>
            <w:pPr>
              <w:spacing w:before="20" w:after="20"/>
            </w:pPr>
            <w:r>
              <w:rPr>
                <w:sz w:val="18"/>
              </w:rPr>
              <w:t>Critical</w:t>
            </w:r>
          </w:p>
        </w:tc>
        <w:tc>
          <w:tcPr>
            <w:tcW w:type="dxa" w:w="1872"/>
          </w:tcPr>
          <w:p>
            <w:pPr>
              <w:spacing w:before="20" w:after="20"/>
            </w:pPr>
            <w:r>
              <w:rPr>
                <w:sz w:val="18"/>
              </w:rPr>
              <w:t>Begin security documentation early; engage ISSO from Phase 1</w:t>
            </w:r>
          </w:p>
        </w:tc>
      </w:tr>
      <w:tr>
        <w:tc>
          <w:tcPr>
            <w:tcW w:type="dxa" w:w="1872"/>
          </w:tcPr>
          <w:p>
            <w:pPr>
              <w:spacing w:before="20" w:after="20"/>
            </w:pPr>
            <w:r>
              <w:rPr>
                <w:sz w:val="18"/>
              </w:rPr>
              <w:t>R-07</w:t>
            </w:r>
          </w:p>
        </w:tc>
        <w:tc>
          <w:tcPr>
            <w:tcW w:type="dxa" w:w="1872"/>
          </w:tcPr>
          <w:p>
            <w:pPr>
              <w:spacing w:before="20" w:after="20"/>
            </w:pPr>
            <w:r>
              <w:rPr>
                <w:sz w:val="18"/>
              </w:rPr>
              <w:t>Key personnel turnover during implementation</w:t>
            </w:r>
          </w:p>
        </w:tc>
        <w:tc>
          <w:tcPr>
            <w:tcW w:type="dxa" w:w="1872"/>
          </w:tcPr>
          <w:p>
            <w:pPr>
              <w:spacing w:before="20" w:after="20"/>
            </w:pPr>
            <w:r>
              <w:rPr>
                <w:sz w:val="18"/>
              </w:rPr>
              <w:t>Low</w:t>
            </w:r>
          </w:p>
        </w:tc>
        <w:tc>
          <w:tcPr>
            <w:tcW w:type="dxa" w:w="1872"/>
          </w:tcPr>
          <w:p>
            <w:pPr>
              <w:spacing w:before="20" w:after="20"/>
            </w:pPr>
            <w:r>
              <w:rPr>
                <w:sz w:val="18"/>
              </w:rPr>
              <w:t>Medium</w:t>
            </w:r>
          </w:p>
        </w:tc>
        <w:tc>
          <w:tcPr>
            <w:tcW w:type="dxa" w:w="1872"/>
          </w:tcPr>
          <w:p>
            <w:pPr>
              <w:spacing w:before="20" w:after="20"/>
            </w:pPr>
            <w:r>
              <w:rPr>
                <w:sz w:val="18"/>
              </w:rPr>
              <w:t>Cross-training; documentation; knowledge transfer sessions</w:t>
            </w:r>
          </w:p>
        </w:tc>
      </w:tr>
      <w:tr>
        <w:tc>
          <w:tcPr>
            <w:tcW w:type="dxa" w:w="1872"/>
          </w:tcPr>
          <w:p>
            <w:pPr>
              <w:spacing w:before="20" w:after="20"/>
            </w:pPr>
            <w:r>
              <w:rPr>
                <w:sz w:val="18"/>
              </w:rPr>
              <w:t>R-08</w:t>
            </w:r>
          </w:p>
        </w:tc>
        <w:tc>
          <w:tcPr>
            <w:tcW w:type="dxa" w:w="1872"/>
          </w:tcPr>
          <w:p>
            <w:pPr>
              <w:spacing w:before="20" w:after="20"/>
            </w:pPr>
            <w:r>
              <w:rPr>
                <w:sz w:val="18"/>
              </w:rPr>
              <w:t>Third-party service outage (MeiliSearch, MinIO)</w:t>
            </w:r>
          </w:p>
        </w:tc>
        <w:tc>
          <w:tcPr>
            <w:tcW w:type="dxa" w:w="1872"/>
          </w:tcPr>
          <w:p>
            <w:pPr>
              <w:spacing w:before="20" w:after="20"/>
            </w:pPr>
            <w:r>
              <w:rPr>
                <w:sz w:val="18"/>
              </w:rPr>
              <w:t>Low</w:t>
            </w:r>
          </w:p>
        </w:tc>
        <w:tc>
          <w:tcPr>
            <w:tcW w:type="dxa" w:w="1872"/>
          </w:tcPr>
          <w:p>
            <w:pPr>
              <w:spacing w:before="20" w:after="20"/>
            </w:pPr>
            <w:r>
              <w:rPr>
                <w:sz w:val="18"/>
              </w:rPr>
              <w:t>Medium</w:t>
            </w:r>
          </w:p>
        </w:tc>
        <w:tc>
          <w:tcPr>
            <w:tcW w:type="dxa" w:w="1872"/>
          </w:tcPr>
          <w:p>
            <w:pPr>
              <w:spacing w:before="20" w:after="20"/>
            </w:pPr>
            <w:r>
              <w:rPr>
                <w:sz w:val="18"/>
              </w:rPr>
              <w:t>Containerized deployment with local persistence; backup/restore procedures</w:t>
            </w:r>
          </w:p>
        </w:tc>
      </w:tr>
      <w:tr>
        <w:tc>
          <w:tcPr>
            <w:tcW w:type="dxa" w:w="1872"/>
          </w:tcPr>
          <w:p>
            <w:pPr>
              <w:spacing w:before="20" w:after="20"/>
            </w:pPr>
            <w:r>
              <w:rPr>
                <w:sz w:val="18"/>
              </w:rPr>
              <w:t>R-09</w:t>
            </w:r>
          </w:p>
        </w:tc>
        <w:tc>
          <w:tcPr>
            <w:tcW w:type="dxa" w:w="1872"/>
          </w:tcPr>
          <w:p>
            <w:pPr>
              <w:spacing w:before="20" w:after="20"/>
            </w:pPr>
            <w:r>
              <w:rPr>
                <w:sz w:val="18"/>
              </w:rPr>
              <w:t>Data loss during migration cutover</w:t>
            </w:r>
          </w:p>
        </w:tc>
        <w:tc>
          <w:tcPr>
            <w:tcW w:type="dxa" w:w="1872"/>
          </w:tcPr>
          <w:p>
            <w:pPr>
              <w:spacing w:before="20" w:after="20"/>
            </w:pPr>
            <w:r>
              <w:rPr>
                <w:sz w:val="18"/>
              </w:rPr>
              <w:t>Low</w:t>
            </w:r>
          </w:p>
        </w:tc>
        <w:tc>
          <w:tcPr>
            <w:tcW w:type="dxa" w:w="1872"/>
          </w:tcPr>
          <w:p>
            <w:pPr>
              <w:spacing w:before="20" w:after="20"/>
            </w:pPr>
            <w:r>
              <w:rPr>
                <w:sz w:val="18"/>
              </w:rPr>
              <w:t>Critical</w:t>
            </w:r>
          </w:p>
        </w:tc>
        <w:tc>
          <w:tcPr>
            <w:tcW w:type="dxa" w:w="1872"/>
          </w:tcPr>
          <w:p>
            <w:pPr>
              <w:spacing w:before="20" w:after="20"/>
            </w:pPr>
            <w:r>
              <w:rPr>
                <w:sz w:val="18"/>
              </w:rPr>
              <w:t>Pre-migration snapshots; validated rollback procedures; parallel period</w:t>
            </w:r>
          </w:p>
        </w:tc>
      </w:tr>
      <w:tr>
        <w:tc>
          <w:tcPr>
            <w:tcW w:type="dxa" w:w="1872"/>
          </w:tcPr>
          <w:p>
            <w:pPr>
              <w:spacing w:before="20" w:after="20"/>
            </w:pPr>
            <w:r>
              <w:rPr>
                <w:sz w:val="18"/>
              </w:rPr>
              <w:t>R-10</w:t>
            </w:r>
          </w:p>
        </w:tc>
        <w:tc>
          <w:tcPr>
            <w:tcW w:type="dxa" w:w="1872"/>
          </w:tcPr>
          <w:p>
            <w:pPr>
              <w:spacing w:before="20" w:after="20"/>
            </w:pPr>
            <w:r>
              <w:rPr>
                <w:sz w:val="18"/>
              </w:rPr>
              <w:t>Scope creep from stakeholder enhancement requests</w:t>
            </w:r>
          </w:p>
        </w:tc>
        <w:tc>
          <w:tcPr>
            <w:tcW w:type="dxa" w:w="1872"/>
          </w:tcPr>
          <w:p>
            <w:pPr>
              <w:spacing w:before="20" w:after="20"/>
            </w:pPr>
            <w:r>
              <w:rPr>
                <w:sz w:val="18"/>
              </w:rPr>
              <w:t>High</w:t>
            </w:r>
          </w:p>
        </w:tc>
        <w:tc>
          <w:tcPr>
            <w:tcW w:type="dxa" w:w="1872"/>
          </w:tcPr>
          <w:p>
            <w:pPr>
              <w:spacing w:before="20" w:after="20"/>
            </w:pPr>
            <w:r>
              <w:rPr>
                <w:sz w:val="18"/>
              </w:rPr>
              <w:t>Medium</w:t>
            </w:r>
          </w:p>
        </w:tc>
        <w:tc>
          <w:tcPr>
            <w:tcW w:type="dxa" w:w="1872"/>
          </w:tcPr>
          <w:p>
            <w:pPr>
              <w:spacing w:before="20" w:after="20"/>
            </w:pPr>
            <w:r>
              <w:rPr>
                <w:sz w:val="18"/>
              </w:rPr>
              <w:t>Strict change control board process; defer non-critical items to Phase 2 release</w:t>
            </w:r>
          </w:p>
        </w:tc>
      </w:tr>
    </w:tbl>
    <w:p/>
    <w:p>
      <w:pPr>
        <w:pStyle w:val="Heading2"/>
      </w:pPr>
      <w:r>
        <w:t>7.2 Contingency Plans</w:t>
      </w:r>
    </w:p>
    <w:p>
      <w:pPr>
        <w:pStyle w:val="ListBullet"/>
        <w:spacing w:before="20" w:after="20"/>
      </w:pPr>
      <w:r>
        <w:t>Migration Failure: Execute rollback to pre-migration database snapshot; extend migration window by two weeks.</w:t>
      </w:r>
    </w:p>
    <w:p>
      <w:pPr>
        <w:pStyle w:val="ListBullet"/>
        <w:spacing w:before="20" w:after="20"/>
      </w:pPr>
      <w:r>
        <w:t>Go-Live Critical Defect: Revert to legacy systems; activate incident response team; deploy fix within 48 hours.</w:t>
      </w:r>
    </w:p>
    <w:p>
      <w:pPr>
        <w:pStyle w:val="ListBullet"/>
        <w:spacing w:before="20" w:after="20"/>
      </w:pPr>
      <w:r>
        <w:t>Infrastructure Failure: Failover to pre-configured backup environment; restore from most recent backup.</w:t>
      </w:r>
    </w:p>
    <w:p>
      <w:pPr>
        <w:pStyle w:val="ListBullet"/>
        <w:spacing w:before="20" w:after="20"/>
      </w:pPr>
      <w:r>
        <w:t>ATO Delay: Continue UAT and training activities; defer go-live to earliest available date post-ATO.</w:t>
      </w:r>
    </w:p>
    <w:p>
      <w:r>
        <w:t>____________________________________________________________</w:t>
      </w:r>
    </w:p>
    <w:p>
      <w:pPr>
        <w:pStyle w:val="Heading1"/>
      </w:pPr>
      <w:r>
        <w:t>8. Resource Requirements</w:t>
      </w:r>
    </w:p>
    <w:p>
      <w:pPr>
        <w:pStyle w:val="Heading2"/>
      </w:pPr>
      <w:r>
        <w:t>8.1 Personnel</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pPr>
              <w:spacing w:before="20" w:after="20"/>
            </w:pPr>
            <w:r>
              <w:rPr>
                <w:sz w:val="18"/>
              </w:rPr>
              <w:t>Role</w:t>
            </w:r>
          </w:p>
        </w:tc>
        <w:tc>
          <w:tcPr>
            <w:tcW w:type="dxa" w:w="2340"/>
          </w:tcPr>
          <w:p>
            <w:pPr>
              <w:spacing w:before="20" w:after="20"/>
            </w:pPr>
            <w:r>
              <w:rPr>
                <w:sz w:val="18"/>
              </w:rPr>
              <w:t>FTE</w:t>
            </w:r>
          </w:p>
        </w:tc>
        <w:tc>
          <w:tcPr>
            <w:tcW w:type="dxa" w:w="2340"/>
          </w:tcPr>
          <w:p>
            <w:pPr>
              <w:spacing w:before="20" w:after="20"/>
            </w:pPr>
            <w:r>
              <w:rPr>
                <w:sz w:val="18"/>
              </w:rPr>
              <w:t>Duration</w:t>
            </w:r>
          </w:p>
        </w:tc>
        <w:tc>
          <w:tcPr>
            <w:tcW w:type="dxa" w:w="2340"/>
          </w:tcPr>
          <w:p>
            <w:pPr>
              <w:spacing w:before="20" w:after="20"/>
            </w:pPr>
            <w:r>
              <w:rPr>
                <w:sz w:val="18"/>
              </w:rPr>
              <w:t>Responsibilities</w:t>
            </w:r>
          </w:p>
        </w:tc>
      </w:tr>
      <w:tr>
        <w:tc>
          <w:tcPr>
            <w:tcW w:type="dxa" w:w="2340"/>
          </w:tcPr>
          <w:p>
            <w:pPr>
              <w:spacing w:before="20" w:after="20"/>
            </w:pPr>
            <w:r>
              <w:rPr>
                <w:sz w:val="18"/>
              </w:rPr>
              <w:t>Project Manager</w:t>
            </w:r>
          </w:p>
        </w:tc>
        <w:tc>
          <w:tcPr>
            <w:tcW w:type="dxa" w:w="2340"/>
          </w:tcPr>
          <w:p>
            <w:pPr>
              <w:spacing w:before="20" w:after="20"/>
            </w:pPr>
            <w:r>
              <w:rPr>
                <w:sz w:val="18"/>
              </w:rPr>
              <w:t>1.0</w:t>
            </w:r>
          </w:p>
        </w:tc>
        <w:tc>
          <w:tcPr>
            <w:tcW w:type="dxa" w:w="2340"/>
          </w:tcPr>
          <w:p>
            <w:pPr>
              <w:spacing w:before="20" w:after="20"/>
            </w:pPr>
            <w:r>
              <w:rPr>
                <w:sz w:val="18"/>
              </w:rPr>
              <w:t>Weeks 1--18</w:t>
            </w:r>
          </w:p>
        </w:tc>
        <w:tc>
          <w:tcPr>
            <w:tcW w:type="dxa" w:w="2340"/>
          </w:tcPr>
          <w:p>
            <w:pPr>
              <w:spacing w:before="20" w:after="20"/>
            </w:pPr>
            <w:r>
              <w:rPr>
                <w:sz w:val="18"/>
              </w:rPr>
              <w:t>Overall implementation coordination and reporting</w:t>
            </w:r>
          </w:p>
        </w:tc>
      </w:tr>
      <w:tr>
        <w:tc>
          <w:tcPr>
            <w:tcW w:type="dxa" w:w="2340"/>
          </w:tcPr>
          <w:p>
            <w:pPr>
              <w:spacing w:before="20" w:after="20"/>
            </w:pPr>
            <w:r>
              <w:rPr>
                <w:sz w:val="18"/>
              </w:rPr>
              <w:t>Lead Developer</w:t>
            </w:r>
          </w:p>
        </w:tc>
        <w:tc>
          <w:tcPr>
            <w:tcW w:type="dxa" w:w="2340"/>
          </w:tcPr>
          <w:p>
            <w:pPr>
              <w:spacing w:before="20" w:after="20"/>
            </w:pPr>
            <w:r>
              <w:rPr>
                <w:sz w:val="18"/>
              </w:rPr>
              <w:t>1.0</w:t>
            </w:r>
          </w:p>
        </w:tc>
        <w:tc>
          <w:tcPr>
            <w:tcW w:type="dxa" w:w="2340"/>
          </w:tcPr>
          <w:p>
            <w:pPr>
              <w:spacing w:before="20" w:after="20"/>
            </w:pPr>
            <w:r>
              <w:rPr>
                <w:sz w:val="18"/>
              </w:rPr>
              <w:t>Weeks 1--18</w:t>
            </w:r>
          </w:p>
        </w:tc>
        <w:tc>
          <w:tcPr>
            <w:tcW w:type="dxa" w:w="2340"/>
          </w:tcPr>
          <w:p>
            <w:pPr>
              <w:spacing w:before="20" w:after="20"/>
            </w:pPr>
            <w:r>
              <w:rPr>
                <w:sz w:val="18"/>
              </w:rPr>
              <w:t>Technical architecture, deployment, and issue resolution</w:t>
            </w:r>
          </w:p>
        </w:tc>
      </w:tr>
      <w:tr>
        <w:tc>
          <w:tcPr>
            <w:tcW w:type="dxa" w:w="2340"/>
          </w:tcPr>
          <w:p>
            <w:pPr>
              <w:spacing w:before="20" w:after="20"/>
            </w:pPr>
            <w:r>
              <w:rPr>
                <w:sz w:val="18"/>
              </w:rPr>
              <w:t>Full-Stack Developer</w:t>
            </w:r>
          </w:p>
        </w:tc>
        <w:tc>
          <w:tcPr>
            <w:tcW w:type="dxa" w:w="2340"/>
          </w:tcPr>
          <w:p>
            <w:pPr>
              <w:spacing w:before="20" w:after="20"/>
            </w:pPr>
            <w:r>
              <w:rPr>
                <w:sz w:val="18"/>
              </w:rPr>
              <w:t>2.0</w:t>
            </w:r>
          </w:p>
        </w:tc>
        <w:tc>
          <w:tcPr>
            <w:tcW w:type="dxa" w:w="2340"/>
          </w:tcPr>
          <w:p>
            <w:pPr>
              <w:spacing w:before="20" w:after="20"/>
            </w:pPr>
            <w:r>
              <w:rPr>
                <w:sz w:val="18"/>
              </w:rPr>
              <w:t>Weeks 1--17</w:t>
            </w:r>
          </w:p>
        </w:tc>
        <w:tc>
          <w:tcPr>
            <w:tcW w:type="dxa" w:w="2340"/>
          </w:tcPr>
          <w:p>
            <w:pPr>
              <w:spacing w:before="20" w:after="20"/>
            </w:pPr>
            <w:r>
              <w:rPr>
                <w:sz w:val="18"/>
              </w:rPr>
              <w:t>Application deployment, migration scripts, bug fixes</w:t>
            </w:r>
          </w:p>
        </w:tc>
      </w:tr>
      <w:tr>
        <w:tc>
          <w:tcPr>
            <w:tcW w:type="dxa" w:w="2340"/>
          </w:tcPr>
          <w:p>
            <w:pPr>
              <w:spacing w:before="20" w:after="20"/>
            </w:pPr>
            <w:r>
              <w:rPr>
                <w:sz w:val="18"/>
              </w:rPr>
              <w:t>Database Administrator</w:t>
            </w:r>
          </w:p>
        </w:tc>
        <w:tc>
          <w:tcPr>
            <w:tcW w:type="dxa" w:w="2340"/>
          </w:tcPr>
          <w:p>
            <w:pPr>
              <w:spacing w:before="20" w:after="20"/>
            </w:pPr>
            <w:r>
              <w:rPr>
                <w:sz w:val="18"/>
              </w:rPr>
              <w:t>0.5</w:t>
            </w:r>
          </w:p>
        </w:tc>
        <w:tc>
          <w:tcPr>
            <w:tcW w:type="dxa" w:w="2340"/>
          </w:tcPr>
          <w:p>
            <w:pPr>
              <w:spacing w:before="20" w:after="20"/>
            </w:pPr>
            <w:r>
              <w:rPr>
                <w:sz w:val="18"/>
              </w:rPr>
              <w:t>Weeks 1--8</w:t>
            </w:r>
          </w:p>
        </w:tc>
        <w:tc>
          <w:tcPr>
            <w:tcW w:type="dxa" w:w="2340"/>
          </w:tcPr>
          <w:p>
            <w:pPr>
              <w:spacing w:before="20" w:after="20"/>
            </w:pPr>
            <w:r>
              <w:rPr>
                <w:sz w:val="18"/>
              </w:rPr>
              <w:t>PostgreSQL provisioning, migration, optimization</w:t>
            </w:r>
          </w:p>
        </w:tc>
      </w:tr>
      <w:tr>
        <w:tc>
          <w:tcPr>
            <w:tcW w:type="dxa" w:w="2340"/>
          </w:tcPr>
          <w:p>
            <w:pPr>
              <w:spacing w:before="20" w:after="20"/>
            </w:pPr>
            <w:r>
              <w:rPr>
                <w:sz w:val="18"/>
              </w:rPr>
              <w:t>Security Engineer</w:t>
            </w:r>
          </w:p>
        </w:tc>
        <w:tc>
          <w:tcPr>
            <w:tcW w:type="dxa" w:w="2340"/>
          </w:tcPr>
          <w:p>
            <w:pPr>
              <w:spacing w:before="20" w:after="20"/>
            </w:pPr>
            <w:r>
              <w:rPr>
                <w:sz w:val="18"/>
              </w:rPr>
              <w:t>0.5</w:t>
            </w:r>
          </w:p>
        </w:tc>
        <w:tc>
          <w:tcPr>
            <w:tcW w:type="dxa" w:w="2340"/>
          </w:tcPr>
          <w:p>
            <w:pPr>
              <w:spacing w:before="20" w:after="20"/>
            </w:pPr>
            <w:r>
              <w:rPr>
                <w:sz w:val="18"/>
              </w:rPr>
              <w:t>Weeks 1--12</w:t>
            </w:r>
          </w:p>
        </w:tc>
        <w:tc>
          <w:tcPr>
            <w:tcW w:type="dxa" w:w="2340"/>
          </w:tcPr>
          <w:p>
            <w:pPr>
              <w:spacing w:before="20" w:after="20"/>
            </w:pPr>
            <w:r>
              <w:rPr>
                <w:sz w:val="18"/>
              </w:rPr>
              <w:t>Security configuration, pen test coordination</w:t>
            </w:r>
          </w:p>
        </w:tc>
      </w:tr>
      <w:tr>
        <w:tc>
          <w:tcPr>
            <w:tcW w:type="dxa" w:w="2340"/>
          </w:tcPr>
          <w:p>
            <w:pPr>
              <w:spacing w:before="20" w:after="20"/>
            </w:pPr>
            <w:r>
              <w:rPr>
                <w:sz w:val="18"/>
              </w:rPr>
              <w:t>QA/Test Engineer</w:t>
            </w:r>
          </w:p>
        </w:tc>
        <w:tc>
          <w:tcPr>
            <w:tcW w:type="dxa" w:w="2340"/>
          </w:tcPr>
          <w:p>
            <w:pPr>
              <w:spacing w:before="20" w:after="20"/>
            </w:pPr>
            <w:r>
              <w:rPr>
                <w:sz w:val="18"/>
              </w:rPr>
              <w:t>1.0</w:t>
            </w:r>
          </w:p>
        </w:tc>
        <w:tc>
          <w:tcPr>
            <w:tcW w:type="dxa" w:w="2340"/>
          </w:tcPr>
          <w:p>
            <w:pPr>
              <w:spacing w:before="20" w:after="20"/>
            </w:pPr>
            <w:r>
              <w:rPr>
                <w:sz w:val="18"/>
              </w:rPr>
              <w:t>Weeks 5--16</w:t>
            </w:r>
          </w:p>
        </w:tc>
        <w:tc>
          <w:tcPr>
            <w:tcW w:type="dxa" w:w="2340"/>
          </w:tcPr>
          <w:p>
            <w:pPr>
              <w:spacing w:before="20" w:after="20"/>
            </w:pPr>
            <w:r>
              <w:rPr>
                <w:sz w:val="18"/>
              </w:rPr>
              <w:t>Test execution, defect management, UAT coordination</w:t>
            </w:r>
          </w:p>
        </w:tc>
      </w:tr>
      <w:tr>
        <w:tc>
          <w:tcPr>
            <w:tcW w:type="dxa" w:w="2340"/>
          </w:tcPr>
          <w:p>
            <w:pPr>
              <w:spacing w:before="20" w:after="20"/>
            </w:pPr>
            <w:r>
              <w:rPr>
                <w:sz w:val="18"/>
              </w:rPr>
              <w:t>DevOps Engineer</w:t>
            </w:r>
          </w:p>
        </w:tc>
        <w:tc>
          <w:tcPr>
            <w:tcW w:type="dxa" w:w="2340"/>
          </w:tcPr>
          <w:p>
            <w:pPr>
              <w:spacing w:before="20" w:after="20"/>
            </w:pPr>
            <w:r>
              <w:rPr>
                <w:sz w:val="18"/>
              </w:rPr>
              <w:t>0.5</w:t>
            </w:r>
          </w:p>
        </w:tc>
        <w:tc>
          <w:tcPr>
            <w:tcW w:type="dxa" w:w="2340"/>
          </w:tcPr>
          <w:p>
            <w:pPr>
              <w:spacing w:before="20" w:after="20"/>
            </w:pPr>
            <w:r>
              <w:rPr>
                <w:sz w:val="18"/>
              </w:rPr>
              <w:t>Weeks 1--4</w:t>
            </w:r>
          </w:p>
        </w:tc>
        <w:tc>
          <w:tcPr>
            <w:tcW w:type="dxa" w:w="2340"/>
          </w:tcPr>
          <w:p>
            <w:pPr>
              <w:spacing w:before="20" w:after="20"/>
            </w:pPr>
            <w:r>
              <w:rPr>
                <w:sz w:val="18"/>
              </w:rPr>
              <w:t>Docker, CI/CD, infrastructure automation</w:t>
            </w:r>
          </w:p>
        </w:tc>
      </w:tr>
      <w:tr>
        <w:tc>
          <w:tcPr>
            <w:tcW w:type="dxa" w:w="2340"/>
          </w:tcPr>
          <w:p>
            <w:pPr>
              <w:spacing w:before="20" w:after="20"/>
            </w:pPr>
            <w:r>
              <w:rPr>
                <w:sz w:val="18"/>
              </w:rPr>
              <w:t>Training Specialist</w:t>
            </w:r>
          </w:p>
        </w:tc>
        <w:tc>
          <w:tcPr>
            <w:tcW w:type="dxa" w:w="2340"/>
          </w:tcPr>
          <w:p>
            <w:pPr>
              <w:spacing w:before="20" w:after="20"/>
            </w:pPr>
            <w:r>
              <w:rPr>
                <w:sz w:val="18"/>
              </w:rPr>
              <w:t>1.0</w:t>
            </w:r>
          </w:p>
        </w:tc>
        <w:tc>
          <w:tcPr>
            <w:tcW w:type="dxa" w:w="2340"/>
          </w:tcPr>
          <w:p>
            <w:pPr>
              <w:spacing w:before="20" w:after="20"/>
            </w:pPr>
            <w:r>
              <w:rPr>
                <w:sz w:val="18"/>
              </w:rPr>
              <w:t>Weeks 12--16</w:t>
            </w:r>
          </w:p>
        </w:tc>
        <w:tc>
          <w:tcPr>
            <w:tcW w:type="dxa" w:w="2340"/>
          </w:tcPr>
          <w:p>
            <w:pPr>
              <w:spacing w:before="20" w:after="20"/>
            </w:pPr>
            <w:r>
              <w:rPr>
                <w:sz w:val="18"/>
              </w:rPr>
              <w:t>Training material development and delivery</w:t>
            </w:r>
          </w:p>
        </w:tc>
      </w:tr>
      <w:tr>
        <w:tc>
          <w:tcPr>
            <w:tcW w:type="dxa" w:w="2340"/>
          </w:tcPr>
          <w:p>
            <w:pPr>
              <w:spacing w:before="20" w:after="20"/>
            </w:pPr>
            <w:r>
              <w:rPr>
                <w:sz w:val="18"/>
              </w:rPr>
              <w:t>Business Analyst</w:t>
            </w:r>
          </w:p>
        </w:tc>
        <w:tc>
          <w:tcPr>
            <w:tcW w:type="dxa" w:w="2340"/>
          </w:tcPr>
          <w:p>
            <w:pPr>
              <w:spacing w:before="20" w:after="20"/>
            </w:pPr>
            <w:r>
              <w:rPr>
                <w:sz w:val="18"/>
              </w:rPr>
              <w:t>0.5</w:t>
            </w:r>
          </w:p>
        </w:tc>
        <w:tc>
          <w:tcPr>
            <w:tcW w:type="dxa" w:w="2340"/>
          </w:tcPr>
          <w:p>
            <w:pPr>
              <w:spacing w:before="20" w:after="20"/>
            </w:pPr>
            <w:r>
              <w:rPr>
                <w:sz w:val="18"/>
              </w:rPr>
              <w:t>Weeks 5--12</w:t>
            </w:r>
          </w:p>
        </w:tc>
        <w:tc>
          <w:tcPr>
            <w:tcW w:type="dxa" w:w="2340"/>
          </w:tcPr>
          <w:p>
            <w:pPr>
              <w:spacing w:before="20" w:after="20"/>
            </w:pPr>
            <w:r>
              <w:rPr>
                <w:sz w:val="18"/>
              </w:rPr>
              <w:t>Data mapping, UAT coordination, requirements validation</w:t>
            </w:r>
          </w:p>
        </w:tc>
      </w:tr>
    </w:tbl>
    <w:p/>
    <w:p>
      <w:pPr>
        <w:pStyle w:val="Heading2"/>
      </w:pPr>
      <w:r>
        <w:t>8.2 Infrastructure</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spacing w:before="20" w:after="20"/>
            </w:pPr>
            <w:r>
              <w:rPr>
                <w:sz w:val="18"/>
              </w:rPr>
              <w:t>Component</w:t>
            </w:r>
          </w:p>
        </w:tc>
        <w:tc>
          <w:tcPr>
            <w:tcW w:type="dxa" w:w="3120"/>
          </w:tcPr>
          <w:p>
            <w:pPr>
              <w:spacing w:before="20" w:after="20"/>
            </w:pPr>
            <w:r>
              <w:rPr>
                <w:sz w:val="18"/>
              </w:rPr>
              <w:t>Specification</w:t>
            </w:r>
          </w:p>
        </w:tc>
        <w:tc>
          <w:tcPr>
            <w:tcW w:type="dxa" w:w="3120"/>
          </w:tcPr>
          <w:p>
            <w:pPr>
              <w:spacing w:before="20" w:after="20"/>
            </w:pPr>
            <w:r>
              <w:rPr>
                <w:sz w:val="18"/>
              </w:rPr>
              <w:t>Quantity</w:t>
            </w:r>
          </w:p>
        </w:tc>
      </w:tr>
      <w:tr>
        <w:tc>
          <w:tcPr>
            <w:tcW w:type="dxa" w:w="3120"/>
          </w:tcPr>
          <w:p>
            <w:pPr>
              <w:spacing w:before="20" w:after="20"/>
            </w:pPr>
            <w:r>
              <w:rPr>
                <w:sz w:val="18"/>
              </w:rPr>
              <w:t>Application Server</w:t>
            </w:r>
          </w:p>
        </w:tc>
        <w:tc>
          <w:tcPr>
            <w:tcW w:type="dxa" w:w="3120"/>
          </w:tcPr>
          <w:p>
            <w:pPr>
              <w:spacing w:before="20" w:after="20"/>
            </w:pPr>
            <w:r>
              <w:rPr>
                <w:sz w:val="18"/>
              </w:rPr>
              <w:t>8 vCPU, 32 GB RAM, 100 GB SSD</w:t>
            </w:r>
          </w:p>
        </w:tc>
        <w:tc>
          <w:tcPr>
            <w:tcW w:type="dxa" w:w="3120"/>
          </w:tcPr>
          <w:p>
            <w:pPr>
              <w:spacing w:before="20" w:after="20"/>
            </w:pPr>
            <w:r>
              <w:rPr>
                <w:sz w:val="18"/>
              </w:rPr>
              <w:t>2 (HA)</w:t>
            </w:r>
          </w:p>
        </w:tc>
      </w:tr>
      <w:tr>
        <w:tc>
          <w:tcPr>
            <w:tcW w:type="dxa" w:w="3120"/>
          </w:tcPr>
          <w:p>
            <w:pPr>
              <w:spacing w:before="20" w:after="20"/>
            </w:pPr>
            <w:r>
              <w:rPr>
                <w:sz w:val="18"/>
              </w:rPr>
              <w:t>Database Server</w:t>
            </w:r>
          </w:p>
        </w:tc>
        <w:tc>
          <w:tcPr>
            <w:tcW w:type="dxa" w:w="3120"/>
          </w:tcPr>
          <w:p>
            <w:pPr>
              <w:spacing w:before="20" w:after="20"/>
            </w:pPr>
            <w:r>
              <w:rPr>
                <w:sz w:val="18"/>
              </w:rPr>
              <w:t>8 vCPU, 64 GB RAM, 500 GB SSD (NVMe)</w:t>
            </w:r>
          </w:p>
        </w:tc>
        <w:tc>
          <w:tcPr>
            <w:tcW w:type="dxa" w:w="3120"/>
          </w:tcPr>
          <w:p>
            <w:pPr>
              <w:spacing w:before="20" w:after="20"/>
            </w:pPr>
            <w:r>
              <w:rPr>
                <w:sz w:val="18"/>
              </w:rPr>
              <w:t>1 + 1 replica</w:t>
            </w:r>
          </w:p>
        </w:tc>
      </w:tr>
      <w:tr>
        <w:tc>
          <w:tcPr>
            <w:tcW w:type="dxa" w:w="3120"/>
          </w:tcPr>
          <w:p>
            <w:pPr>
              <w:spacing w:before="20" w:after="20"/>
            </w:pPr>
            <w:r>
              <w:rPr>
                <w:sz w:val="18"/>
              </w:rPr>
              <w:t>Object Storage (MinIO)</w:t>
            </w:r>
          </w:p>
        </w:tc>
        <w:tc>
          <w:tcPr>
            <w:tcW w:type="dxa" w:w="3120"/>
          </w:tcPr>
          <w:p>
            <w:pPr>
              <w:spacing w:before="20" w:after="20"/>
            </w:pPr>
            <w:r>
              <w:rPr>
                <w:sz w:val="18"/>
              </w:rPr>
              <w:t>4 vCPU, 16 GB RAM, 2 TB HDD</w:t>
            </w:r>
          </w:p>
        </w:tc>
        <w:tc>
          <w:tcPr>
            <w:tcW w:type="dxa" w:w="3120"/>
          </w:tcPr>
          <w:p>
            <w:pPr>
              <w:spacing w:before="20" w:after="20"/>
            </w:pPr>
            <w:r>
              <w:rPr>
                <w:sz w:val="18"/>
              </w:rPr>
              <w:t>1</w:t>
            </w:r>
          </w:p>
        </w:tc>
      </w:tr>
      <w:tr>
        <w:tc>
          <w:tcPr>
            <w:tcW w:type="dxa" w:w="3120"/>
          </w:tcPr>
          <w:p>
            <w:pPr>
              <w:spacing w:before="20" w:after="20"/>
            </w:pPr>
            <w:r>
              <w:rPr>
                <w:sz w:val="18"/>
              </w:rPr>
              <w:t>Search Server (MeiliSearch)</w:t>
            </w:r>
          </w:p>
        </w:tc>
        <w:tc>
          <w:tcPr>
            <w:tcW w:type="dxa" w:w="3120"/>
          </w:tcPr>
          <w:p>
            <w:pPr>
              <w:spacing w:before="20" w:after="20"/>
            </w:pPr>
            <w:r>
              <w:rPr>
                <w:sz w:val="18"/>
              </w:rPr>
              <w:t>4 vCPU, 16 GB RAM, 100 GB SSD</w:t>
            </w:r>
          </w:p>
        </w:tc>
        <w:tc>
          <w:tcPr>
            <w:tcW w:type="dxa" w:w="3120"/>
          </w:tcPr>
          <w:p>
            <w:pPr>
              <w:spacing w:before="20" w:after="20"/>
            </w:pPr>
            <w:r>
              <w:rPr>
                <w:sz w:val="18"/>
              </w:rPr>
              <w:t>1</w:t>
            </w:r>
          </w:p>
        </w:tc>
      </w:tr>
      <w:tr>
        <w:tc>
          <w:tcPr>
            <w:tcW w:type="dxa" w:w="3120"/>
          </w:tcPr>
          <w:p>
            <w:pPr>
              <w:spacing w:before="20" w:after="20"/>
            </w:pPr>
            <w:r>
              <w:rPr>
                <w:sz w:val="18"/>
              </w:rPr>
              <w:t>Redis Server</w:t>
            </w:r>
          </w:p>
        </w:tc>
        <w:tc>
          <w:tcPr>
            <w:tcW w:type="dxa" w:w="3120"/>
          </w:tcPr>
          <w:p>
            <w:pPr>
              <w:spacing w:before="20" w:after="20"/>
            </w:pPr>
            <w:r>
              <w:rPr>
                <w:sz w:val="18"/>
              </w:rPr>
              <w:t>2 vCPU, 8 GB RAM, 50 GB SSD</w:t>
            </w:r>
          </w:p>
        </w:tc>
        <w:tc>
          <w:tcPr>
            <w:tcW w:type="dxa" w:w="3120"/>
          </w:tcPr>
          <w:p>
            <w:pPr>
              <w:spacing w:before="20" w:after="20"/>
            </w:pPr>
            <w:r>
              <w:rPr>
                <w:sz w:val="18"/>
              </w:rPr>
              <w:t>1</w:t>
            </w:r>
          </w:p>
        </w:tc>
      </w:tr>
      <w:tr>
        <w:tc>
          <w:tcPr>
            <w:tcW w:type="dxa" w:w="3120"/>
          </w:tcPr>
          <w:p>
            <w:pPr>
              <w:spacing w:before="20" w:after="20"/>
            </w:pPr>
            <w:r>
              <w:rPr>
                <w:sz w:val="18"/>
              </w:rPr>
              <w:t>Load Balancer / Reverse Proxy</w:t>
            </w:r>
          </w:p>
        </w:tc>
        <w:tc>
          <w:tcPr>
            <w:tcW w:type="dxa" w:w="3120"/>
          </w:tcPr>
          <w:p>
            <w:pPr>
              <w:spacing w:before="20" w:after="20"/>
            </w:pPr>
            <w:r>
              <w:rPr>
                <w:sz w:val="18"/>
              </w:rPr>
              <w:t>2 vCPU, 4 GB RAM</w:t>
            </w:r>
          </w:p>
        </w:tc>
        <w:tc>
          <w:tcPr>
            <w:tcW w:type="dxa" w:w="3120"/>
          </w:tcPr>
          <w:p>
            <w:pPr>
              <w:spacing w:before="20" w:after="20"/>
            </w:pPr>
            <w:r>
              <w:rPr>
                <w:sz w:val="18"/>
              </w:rPr>
              <w:t>1</w:t>
            </w:r>
          </w:p>
        </w:tc>
      </w:tr>
      <w:tr>
        <w:tc>
          <w:tcPr>
            <w:tcW w:type="dxa" w:w="3120"/>
          </w:tcPr>
          <w:p>
            <w:pPr>
              <w:spacing w:before="20" w:after="20"/>
            </w:pPr>
            <w:r>
              <w:rPr>
                <w:sz w:val="18"/>
              </w:rPr>
              <w:t>Backup Storage</w:t>
            </w:r>
          </w:p>
        </w:tc>
        <w:tc>
          <w:tcPr>
            <w:tcW w:type="dxa" w:w="3120"/>
          </w:tcPr>
          <w:p>
            <w:pPr>
              <w:spacing w:before="20" w:after="20"/>
            </w:pPr>
            <w:r>
              <w:rPr>
                <w:sz w:val="18"/>
              </w:rPr>
              <w:t>5 TB network-attached storage</w:t>
            </w:r>
          </w:p>
        </w:tc>
        <w:tc>
          <w:tcPr>
            <w:tcW w:type="dxa" w:w="3120"/>
          </w:tcPr>
          <w:p>
            <w:pPr>
              <w:spacing w:before="20" w:after="20"/>
            </w:pPr>
            <w:r>
              <w:rPr>
                <w:sz w:val="18"/>
              </w:rPr>
              <w:t>1</w:t>
            </w:r>
          </w:p>
        </w:tc>
      </w:tr>
    </w:tbl>
    <w:p/>
    <w:p>
      <w:pPr>
        <w:pStyle w:val="Heading2"/>
      </w:pPr>
      <w:r>
        <w:t>8.3 Software Licenses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spacing w:before="20" w:after="20"/>
            </w:pPr>
            <w:r>
              <w:rPr>
                <w:sz w:val="18"/>
              </w:rPr>
              <w:t>Software</w:t>
            </w:r>
          </w:p>
        </w:tc>
        <w:tc>
          <w:tcPr>
            <w:tcW w:type="dxa" w:w="3120"/>
          </w:tcPr>
          <w:p>
            <w:pPr>
              <w:spacing w:before="20" w:after="20"/>
            </w:pPr>
            <w:r>
              <w:rPr>
                <w:sz w:val="18"/>
              </w:rPr>
              <w:t>License Type</w:t>
            </w:r>
          </w:p>
        </w:tc>
        <w:tc>
          <w:tcPr>
            <w:tcW w:type="dxa" w:w="3120"/>
          </w:tcPr>
          <w:p>
            <w:pPr>
              <w:spacing w:before="20" w:after="20"/>
            </w:pPr>
            <w:r>
              <w:rPr>
                <w:sz w:val="18"/>
              </w:rPr>
              <w:t>Notes</w:t>
            </w:r>
          </w:p>
        </w:tc>
      </w:tr>
      <w:tr>
        <w:tc>
          <w:tcPr>
            <w:tcW w:type="dxa" w:w="3120"/>
          </w:tcPr>
          <w:p>
            <w:pPr>
              <w:spacing w:before="20" w:after="20"/>
            </w:pPr>
            <w:r>
              <w:rPr>
                <w:sz w:val="18"/>
              </w:rPr>
              <w:t>Next.js 16</w:t>
            </w:r>
          </w:p>
        </w:tc>
        <w:tc>
          <w:tcPr>
            <w:tcW w:type="dxa" w:w="3120"/>
          </w:tcPr>
          <w:p>
            <w:pPr>
              <w:spacing w:before="20" w:after="20"/>
            </w:pPr>
            <w:r>
              <w:rPr>
                <w:sz w:val="18"/>
              </w:rPr>
              <w:t>MIT (Open Source)</w:t>
            </w:r>
          </w:p>
        </w:tc>
        <w:tc>
          <w:tcPr>
            <w:tcW w:type="dxa" w:w="3120"/>
          </w:tcPr>
          <w:p>
            <w:pPr>
              <w:spacing w:before="20" w:after="20"/>
            </w:pPr>
            <w:r>
              <w:rPr>
                <w:sz w:val="18"/>
              </w:rPr>
              <w:t>No license cost</w:t>
            </w:r>
          </w:p>
        </w:tc>
      </w:tr>
      <w:tr>
        <w:tc>
          <w:tcPr>
            <w:tcW w:type="dxa" w:w="3120"/>
          </w:tcPr>
          <w:p>
            <w:pPr>
              <w:spacing w:before="20" w:after="20"/>
            </w:pPr>
            <w:r>
              <w:rPr>
                <w:sz w:val="18"/>
              </w:rPr>
              <w:t>PostgreSQL 16</w:t>
            </w:r>
          </w:p>
        </w:tc>
        <w:tc>
          <w:tcPr>
            <w:tcW w:type="dxa" w:w="3120"/>
          </w:tcPr>
          <w:p>
            <w:pPr>
              <w:spacing w:before="20" w:after="20"/>
            </w:pPr>
            <w:r>
              <w:rPr>
                <w:sz w:val="18"/>
              </w:rPr>
              <w:t>PostgreSQL License</w:t>
            </w:r>
          </w:p>
        </w:tc>
        <w:tc>
          <w:tcPr>
            <w:tcW w:type="dxa" w:w="3120"/>
          </w:tcPr>
          <w:p>
            <w:pPr>
              <w:spacing w:before="20" w:after="20"/>
            </w:pPr>
            <w:r>
              <w:rPr>
                <w:sz w:val="18"/>
              </w:rPr>
              <w:t>No license cost</w:t>
            </w:r>
          </w:p>
        </w:tc>
      </w:tr>
      <w:tr>
        <w:tc>
          <w:tcPr>
            <w:tcW w:type="dxa" w:w="3120"/>
          </w:tcPr>
          <w:p>
            <w:pPr>
              <w:spacing w:before="20" w:after="20"/>
            </w:pPr>
            <w:r>
              <w:rPr>
                <w:sz w:val="18"/>
              </w:rPr>
              <w:t>MeiliSearch v1.6</w:t>
            </w:r>
          </w:p>
        </w:tc>
        <w:tc>
          <w:tcPr>
            <w:tcW w:type="dxa" w:w="3120"/>
          </w:tcPr>
          <w:p>
            <w:pPr>
              <w:spacing w:before="20" w:after="20"/>
            </w:pPr>
            <w:r>
              <w:rPr>
                <w:sz w:val="18"/>
              </w:rPr>
              <w:t>MIT (Open Source)</w:t>
            </w:r>
          </w:p>
        </w:tc>
        <w:tc>
          <w:tcPr>
            <w:tcW w:type="dxa" w:w="3120"/>
          </w:tcPr>
          <w:p>
            <w:pPr>
              <w:spacing w:before="20" w:after="20"/>
            </w:pPr>
            <w:r>
              <w:rPr>
                <w:sz w:val="18"/>
              </w:rPr>
              <w:t>No license cost</w:t>
            </w:r>
          </w:p>
        </w:tc>
      </w:tr>
      <w:tr>
        <w:tc>
          <w:tcPr>
            <w:tcW w:type="dxa" w:w="3120"/>
          </w:tcPr>
          <w:p>
            <w:pPr>
              <w:spacing w:before="20" w:after="20"/>
            </w:pPr>
            <w:r>
              <w:rPr>
                <w:sz w:val="18"/>
              </w:rPr>
              <w:t>MinIO</w:t>
            </w:r>
          </w:p>
        </w:tc>
        <w:tc>
          <w:tcPr>
            <w:tcW w:type="dxa" w:w="3120"/>
          </w:tcPr>
          <w:p>
            <w:pPr>
              <w:spacing w:before="20" w:after="20"/>
            </w:pPr>
            <w:r>
              <w:rPr>
                <w:sz w:val="18"/>
              </w:rPr>
              <w:t>AGPLv3 / Commercial</w:t>
            </w:r>
          </w:p>
        </w:tc>
        <w:tc>
          <w:tcPr>
            <w:tcW w:type="dxa" w:w="3120"/>
          </w:tcPr>
          <w:p>
            <w:pPr>
              <w:spacing w:before="20" w:after="20"/>
            </w:pPr>
            <w:r>
              <w:rPr>
                <w:sz w:val="18"/>
              </w:rPr>
              <w:t>Evaluate commercial license for production</w:t>
            </w:r>
          </w:p>
        </w:tc>
      </w:tr>
      <w:tr>
        <w:tc>
          <w:tcPr>
            <w:tcW w:type="dxa" w:w="3120"/>
          </w:tcPr>
          <w:p>
            <w:pPr>
              <w:spacing w:before="20" w:after="20"/>
            </w:pPr>
            <w:r>
              <w:rPr>
                <w:sz w:val="18"/>
              </w:rPr>
              <w:t>Redis 7</w:t>
            </w:r>
          </w:p>
        </w:tc>
        <w:tc>
          <w:tcPr>
            <w:tcW w:type="dxa" w:w="3120"/>
          </w:tcPr>
          <w:p>
            <w:pPr>
              <w:spacing w:before="20" w:after="20"/>
            </w:pPr>
            <w:r>
              <w:rPr>
                <w:sz w:val="18"/>
              </w:rPr>
              <w:t>BSD (Open Source)</w:t>
            </w:r>
          </w:p>
        </w:tc>
        <w:tc>
          <w:tcPr>
            <w:tcW w:type="dxa" w:w="3120"/>
          </w:tcPr>
          <w:p>
            <w:pPr>
              <w:spacing w:before="20" w:after="20"/>
            </w:pPr>
            <w:r>
              <w:rPr>
                <w:sz w:val="18"/>
              </w:rPr>
              <w:t>No license cost</w:t>
            </w:r>
          </w:p>
        </w:tc>
      </w:tr>
      <w:tr>
        <w:tc>
          <w:tcPr>
            <w:tcW w:type="dxa" w:w="3120"/>
          </w:tcPr>
          <w:p>
            <w:pPr>
              <w:spacing w:before="20" w:after="20"/>
            </w:pPr>
            <w:r>
              <w:rPr>
                <w:sz w:val="18"/>
              </w:rPr>
              <w:t>Prisma ORM 7.6</w:t>
            </w:r>
          </w:p>
        </w:tc>
        <w:tc>
          <w:tcPr>
            <w:tcW w:type="dxa" w:w="3120"/>
          </w:tcPr>
          <w:p>
            <w:pPr>
              <w:spacing w:before="20" w:after="20"/>
            </w:pPr>
            <w:r>
              <w:rPr>
                <w:sz w:val="18"/>
              </w:rPr>
              <w:t>Apache 2.0</w:t>
            </w:r>
          </w:p>
        </w:tc>
        <w:tc>
          <w:tcPr>
            <w:tcW w:type="dxa" w:w="3120"/>
          </w:tcPr>
          <w:p>
            <w:pPr>
              <w:spacing w:before="20" w:after="20"/>
            </w:pPr>
            <w:r>
              <w:rPr>
                <w:sz w:val="18"/>
              </w:rPr>
              <w:t>No license cost</w:t>
            </w:r>
          </w:p>
        </w:tc>
      </w:tr>
      <w:tr>
        <w:tc>
          <w:tcPr>
            <w:tcW w:type="dxa" w:w="3120"/>
          </w:tcPr>
          <w:p>
            <w:pPr>
              <w:spacing w:before="20" w:after="20"/>
            </w:pPr>
            <w:r>
              <w:rPr>
                <w:sz w:val="18"/>
              </w:rPr>
              <w:t>Anthropic Claude API</w:t>
            </w:r>
          </w:p>
        </w:tc>
        <w:tc>
          <w:tcPr>
            <w:tcW w:type="dxa" w:w="3120"/>
          </w:tcPr>
          <w:p>
            <w:pPr>
              <w:spacing w:before="20" w:after="20"/>
            </w:pPr>
            <w:r>
              <w:rPr>
                <w:sz w:val="18"/>
              </w:rPr>
              <w:t>Commercial SaaS</w:t>
            </w:r>
          </w:p>
        </w:tc>
        <w:tc>
          <w:tcPr>
            <w:tcW w:type="dxa" w:w="3120"/>
          </w:tcPr>
          <w:p>
            <w:pPr>
              <w:spacing w:before="20" w:after="20"/>
            </w:pPr>
            <w:r>
              <w:rPr>
                <w:sz w:val="18"/>
              </w:rPr>
              <w:t>API usage-based pricing for AI features</w:t>
            </w:r>
          </w:p>
        </w:tc>
      </w:tr>
      <w:tr>
        <w:tc>
          <w:tcPr>
            <w:tcW w:type="dxa" w:w="3120"/>
          </w:tcPr>
          <w:p>
            <w:pPr>
              <w:spacing w:before="20" w:after="20"/>
            </w:pPr>
            <w:r>
              <w:rPr>
                <w:sz w:val="18"/>
              </w:rPr>
              <w:t>Docker Engine</w:t>
            </w:r>
          </w:p>
        </w:tc>
        <w:tc>
          <w:tcPr>
            <w:tcW w:type="dxa" w:w="3120"/>
          </w:tcPr>
          <w:p>
            <w:pPr>
              <w:spacing w:before="20" w:after="20"/>
            </w:pPr>
            <w:r>
              <w:rPr>
                <w:sz w:val="18"/>
              </w:rPr>
              <w:t>Apache 2.0</w:t>
            </w:r>
          </w:p>
        </w:tc>
        <w:tc>
          <w:tcPr>
            <w:tcW w:type="dxa" w:w="3120"/>
          </w:tcPr>
          <w:p>
            <w:pPr>
              <w:spacing w:before="20" w:after="20"/>
            </w:pPr>
            <w:r>
              <w:rPr>
                <w:sz w:val="18"/>
              </w:rPr>
              <w:t>No license cost</w:t>
            </w:r>
          </w:p>
        </w:tc>
      </w:tr>
      <w:tr>
        <w:tc>
          <w:tcPr>
            <w:tcW w:type="dxa" w:w="3120"/>
          </w:tcPr>
          <w:p>
            <w:pPr>
              <w:spacing w:before="20" w:after="20"/>
            </w:pPr>
            <w:r>
              <w:rPr>
                <w:sz w:val="18"/>
              </w:rPr>
              <w:t>SSL/TLS Certificates</w:t>
            </w:r>
          </w:p>
        </w:tc>
        <w:tc>
          <w:tcPr>
            <w:tcW w:type="dxa" w:w="3120"/>
          </w:tcPr>
          <w:p>
            <w:pPr>
              <w:spacing w:before="20" w:after="20"/>
            </w:pPr>
            <w:r>
              <w:rPr>
                <w:sz w:val="18"/>
              </w:rPr>
              <w:t>Agency CA</w:t>
            </w:r>
          </w:p>
        </w:tc>
        <w:tc>
          <w:tcPr>
            <w:tcW w:type="dxa" w:w="3120"/>
          </w:tcPr>
          <w:p>
            <w:pPr>
              <w:spacing w:before="20" w:after="20"/>
            </w:pPr>
            <w:r>
              <w:rPr>
                <w:sz w:val="18"/>
              </w:rPr>
              <w:t>Per agency certificate authority procedures</w:t>
            </w:r>
          </w:p>
        </w:tc>
      </w:tr>
    </w:tbl>
    <w:p/>
    <w:p>
      <w:r>
        <w:t>____________________________________________________________</w:t>
      </w:r>
    </w:p>
    <w:p>
      <w:pPr>
        <w:pStyle w:val="Heading1"/>
      </w:pPr>
      <w:r>
        <w:t>9. Security and Compliance</w:t>
      </w:r>
    </w:p>
    <w:p>
      <w:pPr>
        <w:pStyle w:val="Heading2"/>
      </w:pPr>
      <w:r>
        <w:t>9.1 ATO Timeline</w:t>
      </w:r>
    </w:p>
    <w:tbl>
      <w:tblPr>
        <w:tblStyle w:val="LightGrid-Accent1"/>
        <w:tblW w:type="auto" w:w="0"/>
        <w:jc w:val="left"/>
        <w:tblLook w:firstColumn="1" w:firstRow="1" w:lastColumn="0" w:lastRow="0" w:noHBand="0" w:noVBand="1" w:val="04A0"/>
      </w:tblPr>
      <w:tblGrid>
        <w:gridCol w:w="4680"/>
        <w:gridCol w:w="4680"/>
      </w:tblGrid>
      <w:tr>
        <w:tc>
          <w:tcPr>
            <w:tcW w:type="dxa" w:w="4680"/>
          </w:tcPr>
          <w:p>
            <w:pPr>
              <w:spacing w:before="20" w:after="20"/>
            </w:pPr>
            <w:r>
              <w:rPr>
                <w:sz w:val="18"/>
              </w:rPr>
              <w:t>Milestone</w:t>
            </w:r>
          </w:p>
        </w:tc>
        <w:tc>
          <w:tcPr>
            <w:tcW w:type="dxa" w:w="4680"/>
          </w:tcPr>
          <w:p>
            <w:pPr>
              <w:spacing w:before="20" w:after="20"/>
            </w:pPr>
            <w:r>
              <w:rPr>
                <w:sz w:val="18"/>
              </w:rPr>
              <w:t>Target Date</w:t>
            </w:r>
          </w:p>
        </w:tc>
      </w:tr>
      <w:tr>
        <w:tc>
          <w:tcPr>
            <w:tcW w:type="dxa" w:w="4680"/>
          </w:tcPr>
          <w:p>
            <w:pPr>
              <w:spacing w:before="20" w:after="20"/>
            </w:pPr>
            <w:r>
              <w:rPr>
                <w:sz w:val="18"/>
              </w:rPr>
              <w:t>Security Plan (SSP) submission</w:t>
            </w:r>
          </w:p>
        </w:tc>
        <w:tc>
          <w:tcPr>
            <w:tcW w:type="dxa" w:w="4680"/>
          </w:tcPr>
          <w:p>
            <w:pPr>
              <w:spacing w:before="20" w:after="20"/>
            </w:pPr>
            <w:r>
              <w:rPr>
                <w:sz w:val="18"/>
              </w:rPr>
              <w:t>Week -4</w:t>
            </w:r>
          </w:p>
        </w:tc>
      </w:tr>
      <w:tr>
        <w:tc>
          <w:tcPr>
            <w:tcW w:type="dxa" w:w="4680"/>
          </w:tcPr>
          <w:p>
            <w:pPr>
              <w:spacing w:before="20" w:after="20"/>
            </w:pPr>
            <w:r>
              <w:rPr>
                <w:sz w:val="18"/>
              </w:rPr>
              <w:t>Security Assessment (SA&amp;A) initiation</w:t>
            </w:r>
          </w:p>
        </w:tc>
        <w:tc>
          <w:tcPr>
            <w:tcW w:type="dxa" w:w="4680"/>
          </w:tcPr>
          <w:p>
            <w:pPr>
              <w:spacing w:before="20" w:after="20"/>
            </w:pPr>
            <w:r>
              <w:rPr>
                <w:sz w:val="18"/>
              </w:rPr>
              <w:t>Week -2</w:t>
            </w:r>
          </w:p>
        </w:tc>
      </w:tr>
      <w:tr>
        <w:tc>
          <w:tcPr>
            <w:tcW w:type="dxa" w:w="4680"/>
          </w:tcPr>
          <w:p>
            <w:pPr>
              <w:spacing w:before="20" w:after="20"/>
            </w:pPr>
            <w:r>
              <w:rPr>
                <w:sz w:val="18"/>
              </w:rPr>
              <w:t>Penetration Test execution</w:t>
            </w:r>
          </w:p>
        </w:tc>
        <w:tc>
          <w:tcPr>
            <w:tcW w:type="dxa" w:w="4680"/>
          </w:tcPr>
          <w:p>
            <w:pPr>
              <w:spacing w:before="20" w:after="20"/>
            </w:pPr>
            <w:r>
              <w:rPr>
                <w:sz w:val="18"/>
              </w:rPr>
              <w:t>Weeks 10--11</w:t>
            </w:r>
          </w:p>
        </w:tc>
      </w:tr>
      <w:tr>
        <w:tc>
          <w:tcPr>
            <w:tcW w:type="dxa" w:w="4680"/>
          </w:tcPr>
          <w:p>
            <w:pPr>
              <w:spacing w:before="20" w:after="20"/>
            </w:pPr>
            <w:r>
              <w:rPr>
                <w:sz w:val="18"/>
              </w:rPr>
              <w:t>POA&amp;M development</w:t>
            </w:r>
          </w:p>
        </w:tc>
        <w:tc>
          <w:tcPr>
            <w:tcW w:type="dxa" w:w="4680"/>
          </w:tcPr>
          <w:p>
            <w:pPr>
              <w:spacing w:before="20" w:after="20"/>
            </w:pPr>
            <w:r>
              <w:rPr>
                <w:sz w:val="18"/>
              </w:rPr>
              <w:t>Week 11</w:t>
            </w:r>
          </w:p>
        </w:tc>
      </w:tr>
      <w:tr>
        <w:tc>
          <w:tcPr>
            <w:tcW w:type="dxa" w:w="4680"/>
          </w:tcPr>
          <w:p>
            <w:pPr>
              <w:spacing w:before="20" w:after="20"/>
            </w:pPr>
            <w:r>
              <w:rPr>
                <w:sz w:val="18"/>
              </w:rPr>
              <w:t>ATO decision</w:t>
            </w:r>
          </w:p>
        </w:tc>
        <w:tc>
          <w:tcPr>
            <w:tcW w:type="dxa" w:w="4680"/>
          </w:tcPr>
          <w:p>
            <w:pPr>
              <w:spacing w:before="20" w:after="20"/>
            </w:pPr>
            <w:r>
              <w:rPr>
                <w:sz w:val="18"/>
              </w:rPr>
              <w:t>Week 12</w:t>
            </w:r>
          </w:p>
        </w:tc>
      </w:tr>
      <w:tr>
        <w:tc>
          <w:tcPr>
            <w:tcW w:type="dxa" w:w="4680"/>
          </w:tcPr>
          <w:p>
            <w:pPr>
              <w:spacing w:before="20" w:after="20"/>
            </w:pPr>
            <w:r>
              <w:rPr>
                <w:sz w:val="18"/>
              </w:rPr>
              <w:t>Continuous monitoring initiation</w:t>
            </w:r>
          </w:p>
        </w:tc>
        <w:tc>
          <w:tcPr>
            <w:tcW w:type="dxa" w:w="4680"/>
          </w:tcPr>
          <w:p>
            <w:pPr>
              <w:spacing w:before="20" w:after="20"/>
            </w:pPr>
            <w:r>
              <w:rPr>
                <w:sz w:val="18"/>
              </w:rPr>
              <w:t>Week 13</w:t>
            </w:r>
          </w:p>
        </w:tc>
      </w:tr>
    </w:tbl>
    <w:p/>
    <w:p>
      <w:pPr>
        <w:pStyle w:val="Heading2"/>
      </w:pPr>
      <w:r>
        <w:t>9.2 FISMA Documentation Checklist</w:t>
      </w:r>
    </w:p>
    <w:tbl>
      <w:tblPr>
        <w:tblStyle w:val="LightGrid-Accent1"/>
        <w:tblW w:type="auto" w:w="0"/>
        <w:jc w:val="left"/>
        <w:tblLook w:firstColumn="1" w:firstRow="1" w:lastColumn="0" w:lastRow="0" w:noHBand="0" w:noVBand="1" w:val="04A0"/>
      </w:tblPr>
      <w:tblGrid>
        <w:gridCol w:w="4680"/>
        <w:gridCol w:w="4680"/>
      </w:tblGrid>
      <w:tr>
        <w:tc>
          <w:tcPr>
            <w:tcW w:type="dxa" w:w="4680"/>
          </w:tcPr>
          <w:p>
            <w:pPr>
              <w:spacing w:before="20" w:after="20"/>
            </w:pPr>
            <w:r>
              <w:rPr>
                <w:sz w:val="18"/>
              </w:rPr>
              <w:t>Document</w:t>
            </w:r>
          </w:p>
        </w:tc>
        <w:tc>
          <w:tcPr>
            <w:tcW w:type="dxa" w:w="4680"/>
          </w:tcPr>
          <w:p>
            <w:pPr>
              <w:spacing w:before="20" w:after="20"/>
            </w:pPr>
            <w:r>
              <w:rPr>
                <w:sz w:val="18"/>
              </w:rPr>
              <w:t>Status</w:t>
            </w:r>
          </w:p>
        </w:tc>
      </w:tr>
      <w:tr>
        <w:tc>
          <w:tcPr>
            <w:tcW w:type="dxa" w:w="4680"/>
          </w:tcPr>
          <w:p>
            <w:pPr>
              <w:spacing w:before="20" w:after="20"/>
            </w:pPr>
            <w:r>
              <w:rPr>
                <w:sz w:val="18"/>
              </w:rPr>
              <w:t>System Security Plan (SSP)</w:t>
            </w:r>
          </w:p>
        </w:tc>
        <w:tc>
          <w:tcPr>
            <w:tcW w:type="dxa" w:w="4680"/>
          </w:tcPr>
          <w:p>
            <w:pPr>
              <w:spacing w:before="20" w:after="20"/>
            </w:pPr>
            <w:r>
              <w:rPr>
                <w:sz w:val="18"/>
              </w:rPr>
              <w:t>In Progress</w:t>
            </w:r>
          </w:p>
        </w:tc>
      </w:tr>
      <w:tr>
        <w:tc>
          <w:tcPr>
            <w:tcW w:type="dxa" w:w="4680"/>
          </w:tcPr>
          <w:p>
            <w:pPr>
              <w:spacing w:before="20" w:after="20"/>
            </w:pPr>
            <w:r>
              <w:rPr>
                <w:sz w:val="18"/>
              </w:rPr>
              <w:t>Risk Assessment (RA)</w:t>
            </w:r>
          </w:p>
        </w:tc>
        <w:tc>
          <w:tcPr>
            <w:tcW w:type="dxa" w:w="4680"/>
          </w:tcPr>
          <w:p>
            <w:pPr>
              <w:spacing w:before="20" w:after="20"/>
            </w:pPr>
            <w:r>
              <w:rPr>
                <w:sz w:val="18"/>
              </w:rPr>
              <w:t>In Progress</w:t>
            </w:r>
          </w:p>
        </w:tc>
      </w:tr>
      <w:tr>
        <w:tc>
          <w:tcPr>
            <w:tcW w:type="dxa" w:w="4680"/>
          </w:tcPr>
          <w:p>
            <w:pPr>
              <w:spacing w:before="20" w:after="20"/>
            </w:pPr>
            <w:r>
              <w:rPr>
                <w:sz w:val="18"/>
              </w:rPr>
              <w:t>Security Assessment Report (SAR)</w:t>
            </w:r>
          </w:p>
        </w:tc>
        <w:tc>
          <w:tcPr>
            <w:tcW w:type="dxa" w:w="4680"/>
          </w:tcPr>
          <w:p>
            <w:pPr>
              <w:spacing w:before="20" w:after="20"/>
            </w:pPr>
            <w:r>
              <w:rPr>
                <w:sz w:val="18"/>
              </w:rPr>
              <w:t>Planned</w:t>
            </w:r>
          </w:p>
        </w:tc>
      </w:tr>
      <w:tr>
        <w:tc>
          <w:tcPr>
            <w:tcW w:type="dxa" w:w="4680"/>
          </w:tcPr>
          <w:p>
            <w:pPr>
              <w:spacing w:before="20" w:after="20"/>
            </w:pPr>
            <w:r>
              <w:rPr>
                <w:sz w:val="18"/>
              </w:rPr>
              <w:t>Plan of Action and Milestones (POA&amp;M)</w:t>
            </w:r>
          </w:p>
        </w:tc>
        <w:tc>
          <w:tcPr>
            <w:tcW w:type="dxa" w:w="4680"/>
          </w:tcPr>
          <w:p>
            <w:pPr>
              <w:spacing w:before="20" w:after="20"/>
            </w:pPr>
            <w:r>
              <w:rPr>
                <w:sz w:val="18"/>
              </w:rPr>
              <w:t>Planned</w:t>
            </w:r>
          </w:p>
        </w:tc>
      </w:tr>
      <w:tr>
        <w:tc>
          <w:tcPr>
            <w:tcW w:type="dxa" w:w="4680"/>
          </w:tcPr>
          <w:p>
            <w:pPr>
              <w:spacing w:before="20" w:after="20"/>
            </w:pPr>
            <w:r>
              <w:rPr>
                <w:sz w:val="18"/>
              </w:rPr>
              <w:t>Configuration Management Plan (CMP)</w:t>
            </w:r>
          </w:p>
        </w:tc>
        <w:tc>
          <w:tcPr>
            <w:tcW w:type="dxa" w:w="4680"/>
          </w:tcPr>
          <w:p>
            <w:pPr>
              <w:spacing w:before="20" w:after="20"/>
            </w:pPr>
            <w:r>
              <w:rPr>
                <w:sz w:val="18"/>
              </w:rPr>
              <w:t>In Progress</w:t>
            </w:r>
          </w:p>
        </w:tc>
      </w:tr>
      <w:tr>
        <w:tc>
          <w:tcPr>
            <w:tcW w:type="dxa" w:w="4680"/>
          </w:tcPr>
          <w:p>
            <w:pPr>
              <w:spacing w:before="20" w:after="20"/>
            </w:pPr>
            <w:r>
              <w:rPr>
                <w:sz w:val="18"/>
              </w:rPr>
              <w:t>Contingency Plan (CP)</w:t>
            </w:r>
          </w:p>
        </w:tc>
        <w:tc>
          <w:tcPr>
            <w:tcW w:type="dxa" w:w="4680"/>
          </w:tcPr>
          <w:p>
            <w:pPr>
              <w:spacing w:before="20" w:after="20"/>
            </w:pPr>
            <w:r>
              <w:rPr>
                <w:sz w:val="18"/>
              </w:rPr>
              <w:t>In Progress</w:t>
            </w:r>
          </w:p>
        </w:tc>
      </w:tr>
      <w:tr>
        <w:tc>
          <w:tcPr>
            <w:tcW w:type="dxa" w:w="4680"/>
          </w:tcPr>
          <w:p>
            <w:pPr>
              <w:spacing w:before="20" w:after="20"/>
            </w:pPr>
            <w:r>
              <w:rPr>
                <w:sz w:val="18"/>
              </w:rPr>
              <w:t>Incident Response Plan (IRP)</w:t>
            </w:r>
          </w:p>
        </w:tc>
        <w:tc>
          <w:tcPr>
            <w:tcW w:type="dxa" w:w="4680"/>
          </w:tcPr>
          <w:p>
            <w:pPr>
              <w:spacing w:before="20" w:after="20"/>
            </w:pPr>
            <w:r>
              <w:rPr>
                <w:sz w:val="18"/>
              </w:rPr>
              <w:t>Planned</w:t>
            </w:r>
          </w:p>
        </w:tc>
      </w:tr>
      <w:tr>
        <w:tc>
          <w:tcPr>
            <w:tcW w:type="dxa" w:w="4680"/>
          </w:tcPr>
          <w:p>
            <w:pPr>
              <w:spacing w:before="20" w:after="20"/>
            </w:pPr>
            <w:r>
              <w:rPr>
                <w:sz w:val="18"/>
              </w:rPr>
              <w:t>Privacy Impact Assessment (PIA)</w:t>
            </w:r>
          </w:p>
        </w:tc>
        <w:tc>
          <w:tcPr>
            <w:tcW w:type="dxa" w:w="4680"/>
          </w:tcPr>
          <w:p>
            <w:pPr>
              <w:spacing w:before="20" w:after="20"/>
            </w:pPr>
            <w:r>
              <w:rPr>
                <w:sz w:val="18"/>
              </w:rPr>
              <w:t>Planned</w:t>
            </w:r>
          </w:p>
        </w:tc>
      </w:tr>
      <w:tr>
        <w:tc>
          <w:tcPr>
            <w:tcW w:type="dxa" w:w="4680"/>
          </w:tcPr>
          <w:p>
            <w:pPr>
              <w:spacing w:before="20" w:after="20"/>
            </w:pPr>
            <w:r>
              <w:rPr>
                <w:sz w:val="18"/>
              </w:rPr>
              <w:t>System of Records Notice (SORN)</w:t>
            </w:r>
          </w:p>
        </w:tc>
        <w:tc>
          <w:tcPr>
            <w:tcW w:type="dxa" w:w="4680"/>
          </w:tcPr>
          <w:p>
            <w:pPr>
              <w:spacing w:before="20" w:after="20"/>
            </w:pPr>
            <w:r>
              <w:rPr>
                <w:sz w:val="18"/>
              </w:rPr>
              <w:t>Under Review</w:t>
            </w:r>
          </w:p>
        </w:tc>
      </w:tr>
      <w:tr>
        <w:tc>
          <w:tcPr>
            <w:tcW w:type="dxa" w:w="4680"/>
          </w:tcPr>
          <w:p>
            <w:pPr>
              <w:spacing w:before="20" w:after="20"/>
            </w:pPr>
            <w:r>
              <w:rPr>
                <w:sz w:val="18"/>
              </w:rPr>
              <w:t>Rules of Behavior (ROB)</w:t>
            </w:r>
          </w:p>
        </w:tc>
        <w:tc>
          <w:tcPr>
            <w:tcW w:type="dxa" w:w="4680"/>
          </w:tcPr>
          <w:p>
            <w:pPr>
              <w:spacing w:before="20" w:after="20"/>
            </w:pPr>
            <w:r>
              <w:rPr>
                <w:sz w:val="18"/>
              </w:rPr>
              <w:t>Complete</w:t>
            </w:r>
          </w:p>
        </w:tc>
      </w:tr>
      <w:tr>
        <w:tc>
          <w:tcPr>
            <w:tcW w:type="dxa" w:w="4680"/>
          </w:tcPr>
          <w:p>
            <w:pPr>
              <w:spacing w:before="20" w:after="20"/>
            </w:pPr>
            <w:r>
              <w:rPr>
                <w:sz w:val="18"/>
              </w:rPr>
              <w:t>Interconnection Security Agreement (ISA)</w:t>
            </w:r>
          </w:p>
        </w:tc>
        <w:tc>
          <w:tcPr>
            <w:tcW w:type="dxa" w:w="4680"/>
          </w:tcPr>
          <w:p>
            <w:pPr>
              <w:spacing w:before="20" w:after="20"/>
            </w:pPr>
            <w:r>
              <w:rPr>
                <w:sz w:val="18"/>
              </w:rPr>
              <w:t>N/A</w:t>
            </w:r>
          </w:p>
        </w:tc>
      </w:tr>
    </w:tbl>
    <w:p/>
    <w:p>
      <w:pPr>
        <w:pStyle w:val="Heading2"/>
      </w:pPr>
      <w:r>
        <w:t>9.3 FedRAMP Alignment</w:t>
      </w:r>
    </w:p>
    <w:p>
      <w:pPr>
        <w:spacing w:after="80"/>
      </w:pPr>
      <w:r>
        <w:t>OIG-ITS is deployed on-premises within the agency's accredited network boundary. Where cloud-hosted components are utilized (e.g., Anthropic Claude API for AI features), the agency shall ensure that such services maintain FedRAMP Moderate authorization or obtain an approved waiver per agency policy.</w:t>
      </w:r>
    </w:p>
    <w:p>
      <w:pPr>
        <w:pStyle w:val="Heading2"/>
      </w:pPr>
      <w:r>
        <w:t>9.4 Privacy Impact Assessment Schedule</w:t>
      </w:r>
    </w:p>
    <w:tbl>
      <w:tblPr>
        <w:tblStyle w:val="LightGrid-Accent1"/>
        <w:tblW w:type="auto" w:w="0"/>
        <w:jc w:val="left"/>
        <w:tblLook w:firstColumn="1" w:firstRow="1" w:lastColumn="0" w:lastRow="0" w:noHBand="0" w:noVBand="1" w:val="04A0"/>
      </w:tblPr>
      <w:tblGrid>
        <w:gridCol w:w="4680"/>
        <w:gridCol w:w="4680"/>
      </w:tblGrid>
      <w:tr>
        <w:tc>
          <w:tcPr>
            <w:tcW w:type="dxa" w:w="4680"/>
          </w:tcPr>
          <w:p>
            <w:pPr>
              <w:spacing w:before="20" w:after="20"/>
            </w:pPr>
            <w:r>
              <w:rPr>
                <w:sz w:val="18"/>
              </w:rPr>
              <w:t>Activity</w:t>
            </w:r>
          </w:p>
        </w:tc>
        <w:tc>
          <w:tcPr>
            <w:tcW w:type="dxa" w:w="4680"/>
          </w:tcPr>
          <w:p>
            <w:pPr>
              <w:spacing w:before="20" w:after="20"/>
            </w:pPr>
            <w:r>
              <w:rPr>
                <w:sz w:val="18"/>
              </w:rPr>
              <w:t>Target</w:t>
            </w:r>
          </w:p>
        </w:tc>
      </w:tr>
      <w:tr>
        <w:tc>
          <w:tcPr>
            <w:tcW w:type="dxa" w:w="4680"/>
          </w:tcPr>
          <w:p>
            <w:pPr>
              <w:spacing w:before="20" w:after="20"/>
            </w:pPr>
            <w:r>
              <w:rPr>
                <w:sz w:val="18"/>
              </w:rPr>
              <w:t>PIA initial draft</w:t>
            </w:r>
          </w:p>
        </w:tc>
        <w:tc>
          <w:tcPr>
            <w:tcW w:type="dxa" w:w="4680"/>
          </w:tcPr>
          <w:p>
            <w:pPr>
              <w:spacing w:before="20" w:after="20"/>
            </w:pPr>
            <w:r>
              <w:rPr>
                <w:sz w:val="18"/>
              </w:rPr>
              <w:t>Week 2</w:t>
            </w:r>
          </w:p>
        </w:tc>
      </w:tr>
      <w:tr>
        <w:tc>
          <w:tcPr>
            <w:tcW w:type="dxa" w:w="4680"/>
          </w:tcPr>
          <w:p>
            <w:pPr>
              <w:spacing w:before="20" w:after="20"/>
            </w:pPr>
            <w:r>
              <w:rPr>
                <w:sz w:val="18"/>
              </w:rPr>
              <w:t>Privacy review board submission</w:t>
            </w:r>
          </w:p>
        </w:tc>
        <w:tc>
          <w:tcPr>
            <w:tcW w:type="dxa" w:w="4680"/>
          </w:tcPr>
          <w:p>
            <w:pPr>
              <w:spacing w:before="20" w:after="20"/>
            </w:pPr>
            <w:r>
              <w:rPr>
                <w:sz w:val="18"/>
              </w:rPr>
              <w:t>Week 4</w:t>
            </w:r>
          </w:p>
        </w:tc>
      </w:tr>
      <w:tr>
        <w:tc>
          <w:tcPr>
            <w:tcW w:type="dxa" w:w="4680"/>
          </w:tcPr>
          <w:p>
            <w:pPr>
              <w:spacing w:before="20" w:after="20"/>
            </w:pPr>
            <w:r>
              <w:rPr>
                <w:sz w:val="18"/>
              </w:rPr>
              <w:t>PIA approval</w:t>
            </w:r>
          </w:p>
        </w:tc>
        <w:tc>
          <w:tcPr>
            <w:tcW w:type="dxa" w:w="4680"/>
          </w:tcPr>
          <w:p>
            <w:pPr>
              <w:spacing w:before="20" w:after="20"/>
            </w:pPr>
            <w:r>
              <w:rPr>
                <w:sz w:val="18"/>
              </w:rPr>
              <w:t>Week 8</w:t>
            </w:r>
          </w:p>
        </w:tc>
      </w:tr>
      <w:tr>
        <w:tc>
          <w:tcPr>
            <w:tcW w:type="dxa" w:w="4680"/>
          </w:tcPr>
          <w:p>
            <w:pPr>
              <w:spacing w:before="20" w:after="20"/>
            </w:pPr>
            <w:r>
              <w:rPr>
                <w:sz w:val="18"/>
              </w:rPr>
              <w:t>PIA publication (if required)</w:t>
            </w:r>
          </w:p>
        </w:tc>
        <w:tc>
          <w:tcPr>
            <w:tcW w:type="dxa" w:w="4680"/>
          </w:tcPr>
          <w:p>
            <w:pPr>
              <w:spacing w:before="20" w:after="20"/>
            </w:pPr>
            <w:r>
              <w:rPr>
                <w:sz w:val="18"/>
              </w:rPr>
              <w:t>Week 10</w:t>
            </w:r>
          </w:p>
        </w:tc>
      </w:tr>
    </w:tbl>
    <w:p/>
    <w:p>
      <w:pPr>
        <w:pStyle w:val="Heading2"/>
      </w:pPr>
      <w:r>
        <w:t>9.5 Security Control Implementation Status</w:t>
      </w:r>
    </w:p>
    <w:p>
      <w:pPr>
        <w:spacing w:after="80"/>
      </w:pPr>
      <w:r>
        <w:t>OIG-ITS implements the following NIST SP 800-53 control families:</w:t>
      </w:r>
    </w:p>
    <w:tbl>
      <w:tblPr>
        <w:tblStyle w:val="LightGrid-Accent1"/>
        <w:tblW w:type="auto" w:w="0"/>
        <w:jc w:val="left"/>
        <w:tblLook w:firstColumn="1" w:firstRow="1" w:lastColumn="0" w:lastRow="0" w:noHBand="0" w:noVBand="1" w:val="04A0"/>
      </w:tblPr>
      <w:tblGrid>
        <w:gridCol w:w="4680"/>
        <w:gridCol w:w="4680"/>
      </w:tblGrid>
      <w:tr>
        <w:tc>
          <w:tcPr>
            <w:tcW w:type="dxa" w:w="4680"/>
          </w:tcPr>
          <w:p>
            <w:pPr>
              <w:spacing w:before="20" w:after="20"/>
            </w:pPr>
            <w:r>
              <w:rPr>
                <w:sz w:val="18"/>
              </w:rPr>
              <w:t>Control Family</w:t>
            </w:r>
          </w:p>
        </w:tc>
        <w:tc>
          <w:tcPr>
            <w:tcW w:type="dxa" w:w="4680"/>
          </w:tcPr>
          <w:p>
            <w:pPr>
              <w:spacing w:before="20" w:after="20"/>
            </w:pPr>
            <w:r>
              <w:rPr>
                <w:sz w:val="18"/>
              </w:rPr>
              <w:t>Implementation Status</w:t>
            </w:r>
          </w:p>
        </w:tc>
      </w:tr>
      <w:tr>
        <w:tc>
          <w:tcPr>
            <w:tcW w:type="dxa" w:w="4680"/>
          </w:tcPr>
          <w:p>
            <w:pPr>
              <w:spacing w:before="20" w:after="20"/>
            </w:pPr>
            <w:r>
              <w:rPr>
                <w:sz w:val="18"/>
              </w:rPr>
              <w:t>AC (Access Control)</w:t>
            </w:r>
          </w:p>
        </w:tc>
        <w:tc>
          <w:tcPr>
            <w:tcW w:type="dxa" w:w="4680"/>
          </w:tcPr>
          <w:p>
            <w:pPr>
              <w:spacing w:before="20" w:after="20"/>
            </w:pPr>
            <w:r>
              <w:rPr>
                <w:sz w:val="18"/>
              </w:rPr>
              <w:t>Implemented — RBAC with 6 roles, session management</w:t>
            </w:r>
          </w:p>
        </w:tc>
      </w:tr>
      <w:tr>
        <w:tc>
          <w:tcPr>
            <w:tcW w:type="dxa" w:w="4680"/>
          </w:tcPr>
          <w:p>
            <w:pPr>
              <w:spacing w:before="20" w:after="20"/>
            </w:pPr>
            <w:r>
              <w:rPr>
                <w:sz w:val="18"/>
              </w:rPr>
              <w:t>AU (Audit and Accountability)</w:t>
            </w:r>
          </w:p>
        </w:tc>
        <w:tc>
          <w:tcPr>
            <w:tcW w:type="dxa" w:w="4680"/>
          </w:tcPr>
          <w:p>
            <w:pPr>
              <w:spacing w:before="20" w:after="20"/>
            </w:pPr>
            <w:r>
              <w:rPr>
                <w:sz w:val="18"/>
              </w:rPr>
              <w:t>Implemented — Immutable audit logs, 10 action types</w:t>
            </w:r>
          </w:p>
        </w:tc>
      </w:tr>
      <w:tr>
        <w:tc>
          <w:tcPr>
            <w:tcW w:type="dxa" w:w="4680"/>
          </w:tcPr>
          <w:p>
            <w:pPr>
              <w:spacing w:before="20" w:after="20"/>
            </w:pPr>
            <w:r>
              <w:rPr>
                <w:sz w:val="18"/>
              </w:rPr>
              <w:t>AT (Awareness and Training)</w:t>
            </w:r>
          </w:p>
        </w:tc>
        <w:tc>
          <w:tcPr>
            <w:tcW w:type="dxa" w:w="4680"/>
          </w:tcPr>
          <w:p>
            <w:pPr>
              <w:spacing w:before="20" w:after="20"/>
            </w:pPr>
            <w:r>
              <w:rPr>
                <w:sz w:val="18"/>
              </w:rPr>
              <w:t>Implemented — Training management module</w:t>
            </w:r>
          </w:p>
        </w:tc>
      </w:tr>
      <w:tr>
        <w:tc>
          <w:tcPr>
            <w:tcW w:type="dxa" w:w="4680"/>
          </w:tcPr>
          <w:p>
            <w:pPr>
              <w:spacing w:before="20" w:after="20"/>
            </w:pPr>
            <w:r>
              <w:rPr>
                <w:sz w:val="18"/>
              </w:rPr>
              <w:t>CM (Configuration Management)</w:t>
            </w:r>
          </w:p>
        </w:tc>
        <w:tc>
          <w:tcPr>
            <w:tcW w:type="dxa" w:w="4680"/>
          </w:tcPr>
          <w:p>
            <w:pPr>
              <w:spacing w:before="20" w:after="20"/>
            </w:pPr>
            <w:r>
              <w:rPr>
                <w:sz w:val="18"/>
              </w:rPr>
              <w:t>Implemented — Feature flags, system settings</w:t>
            </w:r>
          </w:p>
        </w:tc>
      </w:tr>
      <w:tr>
        <w:tc>
          <w:tcPr>
            <w:tcW w:type="dxa" w:w="4680"/>
          </w:tcPr>
          <w:p>
            <w:pPr>
              <w:spacing w:before="20" w:after="20"/>
            </w:pPr>
            <w:r>
              <w:rPr>
                <w:sz w:val="18"/>
              </w:rPr>
              <w:t>CP (Contingency Planning)</w:t>
            </w:r>
          </w:p>
        </w:tc>
        <w:tc>
          <w:tcPr>
            <w:tcW w:type="dxa" w:w="4680"/>
          </w:tcPr>
          <w:p>
            <w:pPr>
              <w:spacing w:before="20" w:after="20"/>
            </w:pPr>
            <w:r>
              <w:rPr>
                <w:sz w:val="18"/>
              </w:rPr>
              <w:t>Planned — Backup procedures, rollback documentation</w:t>
            </w:r>
          </w:p>
        </w:tc>
      </w:tr>
      <w:tr>
        <w:tc>
          <w:tcPr>
            <w:tcW w:type="dxa" w:w="4680"/>
          </w:tcPr>
          <w:p>
            <w:pPr>
              <w:spacing w:before="20" w:after="20"/>
            </w:pPr>
            <w:r>
              <w:rPr>
                <w:sz w:val="18"/>
              </w:rPr>
              <w:t>IA (Identification and Auth)</w:t>
            </w:r>
          </w:p>
        </w:tc>
        <w:tc>
          <w:tcPr>
            <w:tcW w:type="dxa" w:w="4680"/>
          </w:tcPr>
          <w:p>
            <w:pPr>
              <w:spacing w:before="20" w:after="20"/>
            </w:pPr>
            <w:r>
              <w:rPr>
                <w:sz w:val="18"/>
              </w:rPr>
              <w:t>Implemented — bcrypt password hashing, account lockout</w:t>
            </w:r>
          </w:p>
        </w:tc>
      </w:tr>
      <w:tr>
        <w:tc>
          <w:tcPr>
            <w:tcW w:type="dxa" w:w="4680"/>
          </w:tcPr>
          <w:p>
            <w:pPr>
              <w:spacing w:before="20" w:after="20"/>
            </w:pPr>
            <w:r>
              <w:rPr>
                <w:sz w:val="18"/>
              </w:rPr>
              <w:t>IR (Incident Response)</w:t>
            </w:r>
          </w:p>
        </w:tc>
        <w:tc>
          <w:tcPr>
            <w:tcW w:type="dxa" w:w="4680"/>
          </w:tcPr>
          <w:p>
            <w:pPr>
              <w:spacing w:before="20" w:after="20"/>
            </w:pPr>
            <w:r>
              <w:rPr>
                <w:sz w:val="18"/>
              </w:rPr>
              <w:t>Planned — Procedures to be documented</w:t>
            </w:r>
          </w:p>
        </w:tc>
      </w:tr>
      <w:tr>
        <w:tc>
          <w:tcPr>
            <w:tcW w:type="dxa" w:w="4680"/>
          </w:tcPr>
          <w:p>
            <w:pPr>
              <w:spacing w:before="20" w:after="20"/>
            </w:pPr>
            <w:r>
              <w:rPr>
                <w:sz w:val="18"/>
              </w:rPr>
              <w:t>MA (Maintenance)</w:t>
            </w:r>
          </w:p>
        </w:tc>
        <w:tc>
          <w:tcPr>
            <w:tcW w:type="dxa" w:w="4680"/>
          </w:tcPr>
          <w:p>
            <w:pPr>
              <w:spacing w:before="20" w:after="20"/>
            </w:pPr>
            <w:r>
              <w:rPr>
                <w:sz w:val="18"/>
              </w:rPr>
              <w:t>Planned — Patch management schedule</w:t>
            </w:r>
          </w:p>
        </w:tc>
      </w:tr>
      <w:tr>
        <w:tc>
          <w:tcPr>
            <w:tcW w:type="dxa" w:w="4680"/>
          </w:tcPr>
          <w:p>
            <w:pPr>
              <w:spacing w:before="20" w:after="20"/>
            </w:pPr>
            <w:r>
              <w:rPr>
                <w:sz w:val="18"/>
              </w:rPr>
              <w:t>MP (Media Protection)</w:t>
            </w:r>
          </w:p>
        </w:tc>
        <w:tc>
          <w:tcPr>
            <w:tcW w:type="dxa" w:w="4680"/>
          </w:tcPr>
          <w:p>
            <w:pPr>
              <w:spacing w:before="20" w:after="20"/>
            </w:pPr>
            <w:r>
              <w:rPr>
                <w:sz w:val="18"/>
              </w:rPr>
              <w:t>Implemented — Encrypted storage, document access logging</w:t>
            </w:r>
          </w:p>
        </w:tc>
      </w:tr>
      <w:tr>
        <w:tc>
          <w:tcPr>
            <w:tcW w:type="dxa" w:w="4680"/>
          </w:tcPr>
          <w:p>
            <w:pPr>
              <w:spacing w:before="20" w:after="20"/>
            </w:pPr>
            <w:r>
              <w:rPr>
                <w:sz w:val="18"/>
              </w:rPr>
              <w:t>PE (Physical/Environmental)</w:t>
            </w:r>
          </w:p>
        </w:tc>
        <w:tc>
          <w:tcPr>
            <w:tcW w:type="dxa" w:w="4680"/>
          </w:tcPr>
          <w:p>
            <w:pPr>
              <w:spacing w:before="20" w:after="20"/>
            </w:pPr>
            <w:r>
              <w:rPr>
                <w:sz w:val="18"/>
              </w:rPr>
              <w:t>Inherited — Agency data center controls</w:t>
            </w:r>
          </w:p>
        </w:tc>
      </w:tr>
      <w:tr>
        <w:tc>
          <w:tcPr>
            <w:tcW w:type="dxa" w:w="4680"/>
          </w:tcPr>
          <w:p>
            <w:pPr>
              <w:spacing w:before="20" w:after="20"/>
            </w:pPr>
            <w:r>
              <w:rPr>
                <w:sz w:val="18"/>
              </w:rPr>
              <w:t>PL (Planning)</w:t>
            </w:r>
          </w:p>
        </w:tc>
        <w:tc>
          <w:tcPr>
            <w:tcW w:type="dxa" w:w="4680"/>
          </w:tcPr>
          <w:p>
            <w:pPr>
              <w:spacing w:before="20" w:after="20"/>
            </w:pPr>
            <w:r>
              <w:rPr>
                <w:sz w:val="18"/>
              </w:rPr>
              <w:t>Implemented — This document</w:t>
            </w:r>
          </w:p>
        </w:tc>
      </w:tr>
      <w:tr>
        <w:tc>
          <w:tcPr>
            <w:tcW w:type="dxa" w:w="4680"/>
          </w:tcPr>
          <w:p>
            <w:pPr>
              <w:spacing w:before="20" w:after="20"/>
            </w:pPr>
            <w:r>
              <w:rPr>
                <w:sz w:val="18"/>
              </w:rPr>
              <w:t>PS (Personnel Security)</w:t>
            </w:r>
          </w:p>
        </w:tc>
        <w:tc>
          <w:tcPr>
            <w:tcW w:type="dxa" w:w="4680"/>
          </w:tcPr>
          <w:p>
            <w:pPr>
              <w:spacing w:before="20" w:after="20"/>
            </w:pPr>
            <w:r>
              <w:rPr>
                <w:sz w:val="18"/>
              </w:rPr>
              <w:t>Inherited — Agency personnel security program</w:t>
            </w:r>
          </w:p>
        </w:tc>
      </w:tr>
      <w:tr>
        <w:tc>
          <w:tcPr>
            <w:tcW w:type="dxa" w:w="4680"/>
          </w:tcPr>
          <w:p>
            <w:pPr>
              <w:spacing w:before="20" w:after="20"/>
            </w:pPr>
            <w:r>
              <w:rPr>
                <w:sz w:val="18"/>
              </w:rPr>
              <w:t>RA (Risk Assessment)</w:t>
            </w:r>
          </w:p>
        </w:tc>
        <w:tc>
          <w:tcPr>
            <w:tcW w:type="dxa" w:w="4680"/>
          </w:tcPr>
          <w:p>
            <w:pPr>
              <w:spacing w:before="20" w:after="20"/>
            </w:pPr>
            <w:r>
              <w:rPr>
                <w:sz w:val="18"/>
              </w:rPr>
              <w:t>In Progress — Risk register (Section 7)</w:t>
            </w:r>
          </w:p>
        </w:tc>
      </w:tr>
      <w:tr>
        <w:tc>
          <w:tcPr>
            <w:tcW w:type="dxa" w:w="4680"/>
          </w:tcPr>
          <w:p>
            <w:pPr>
              <w:spacing w:before="20" w:after="20"/>
            </w:pPr>
            <w:r>
              <w:rPr>
                <w:sz w:val="18"/>
              </w:rPr>
              <w:t>SA (System Acquisition)</w:t>
            </w:r>
          </w:p>
        </w:tc>
        <w:tc>
          <w:tcPr>
            <w:tcW w:type="dxa" w:w="4680"/>
          </w:tcPr>
          <w:p>
            <w:pPr>
              <w:spacing w:before="20" w:after="20"/>
            </w:pPr>
            <w:r>
              <w:rPr>
                <w:sz w:val="18"/>
              </w:rPr>
              <w:t>Implemented — Open-source stack, documented procurement</w:t>
            </w:r>
          </w:p>
        </w:tc>
      </w:tr>
      <w:tr>
        <w:tc>
          <w:tcPr>
            <w:tcW w:type="dxa" w:w="4680"/>
          </w:tcPr>
          <w:p>
            <w:pPr>
              <w:spacing w:before="20" w:after="20"/>
            </w:pPr>
            <w:r>
              <w:rPr>
                <w:sz w:val="18"/>
              </w:rPr>
              <w:t>SC (System and Communications)</w:t>
            </w:r>
          </w:p>
        </w:tc>
        <w:tc>
          <w:tcPr>
            <w:tcW w:type="dxa" w:w="4680"/>
          </w:tcPr>
          <w:p>
            <w:pPr>
              <w:spacing w:before="20" w:after="20"/>
            </w:pPr>
            <w:r>
              <w:rPr>
                <w:sz w:val="18"/>
              </w:rPr>
              <w:t>Implemented — TLS encryption, network segmentation</w:t>
            </w:r>
          </w:p>
        </w:tc>
      </w:tr>
      <w:tr>
        <w:tc>
          <w:tcPr>
            <w:tcW w:type="dxa" w:w="4680"/>
          </w:tcPr>
          <w:p>
            <w:pPr>
              <w:spacing w:before="20" w:after="20"/>
            </w:pPr>
            <w:r>
              <w:rPr>
                <w:sz w:val="18"/>
              </w:rPr>
              <w:t>SI (System and Information Integrity)</w:t>
            </w:r>
          </w:p>
        </w:tc>
        <w:tc>
          <w:tcPr>
            <w:tcW w:type="dxa" w:w="4680"/>
          </w:tcPr>
          <w:p>
            <w:pPr>
              <w:spacing w:before="20" w:after="20"/>
            </w:pPr>
            <w:r>
              <w:rPr>
                <w:sz w:val="18"/>
              </w:rPr>
              <w:t>Implemented — Input validation, error handling</w:t>
            </w:r>
          </w:p>
        </w:tc>
      </w:tr>
    </w:tbl>
    <w:p/>
    <w:p>
      <w:r>
        <w:t>____________________________________________________________</w:t>
      </w:r>
    </w:p>
    <w:p>
      <w:pPr>
        <w:pStyle w:val="Heading1"/>
      </w:pPr>
      <w:r>
        <w:t>10. Support and Maintenance</w:t>
      </w:r>
    </w:p>
    <w:p>
      <w:pPr>
        <w:pStyle w:val="Heading2"/>
      </w:pPr>
      <w:r>
        <w:t>10.1 SLA Definitions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pPr>
              <w:spacing w:before="20" w:after="20"/>
            </w:pPr>
            <w:r>
              <w:rPr>
                <w:sz w:val="18"/>
              </w:rPr>
              <w:t>Severity</w:t>
            </w:r>
          </w:p>
        </w:tc>
        <w:tc>
          <w:tcPr>
            <w:tcW w:type="dxa" w:w="2340"/>
          </w:tcPr>
          <w:p>
            <w:pPr>
              <w:spacing w:before="20" w:after="20"/>
            </w:pPr>
            <w:r>
              <w:rPr>
                <w:sz w:val="18"/>
              </w:rPr>
              <w:t>Description</w:t>
            </w:r>
          </w:p>
        </w:tc>
        <w:tc>
          <w:tcPr>
            <w:tcW w:type="dxa" w:w="2340"/>
          </w:tcPr>
          <w:p>
            <w:pPr>
              <w:spacing w:before="20" w:after="20"/>
            </w:pPr>
            <w:r>
              <w:rPr>
                <w:sz w:val="18"/>
              </w:rPr>
              <w:t>Response Time</w:t>
            </w:r>
          </w:p>
        </w:tc>
        <w:tc>
          <w:tcPr>
            <w:tcW w:type="dxa" w:w="2340"/>
          </w:tcPr>
          <w:p>
            <w:pPr>
              <w:spacing w:before="20" w:after="20"/>
            </w:pPr>
            <w:r>
              <w:rPr>
                <w:sz w:val="18"/>
              </w:rPr>
              <w:t>Resolution Time</w:t>
            </w:r>
          </w:p>
        </w:tc>
      </w:tr>
      <w:tr>
        <w:tc>
          <w:tcPr>
            <w:tcW w:type="dxa" w:w="2340"/>
          </w:tcPr>
          <w:p>
            <w:pPr>
              <w:spacing w:before="20" w:after="20"/>
            </w:pPr>
            <w:r>
              <w:rPr>
                <w:sz w:val="18"/>
              </w:rPr>
              <w:t>Critical</w:t>
            </w:r>
          </w:p>
        </w:tc>
        <w:tc>
          <w:tcPr>
            <w:tcW w:type="dxa" w:w="2340"/>
          </w:tcPr>
          <w:p>
            <w:pPr>
              <w:spacing w:before="20" w:after="20"/>
            </w:pPr>
            <w:r>
              <w:rPr>
                <w:sz w:val="18"/>
              </w:rPr>
              <w:t>System unavailable or data loss</w:t>
            </w:r>
          </w:p>
        </w:tc>
        <w:tc>
          <w:tcPr>
            <w:tcW w:type="dxa" w:w="2340"/>
          </w:tcPr>
          <w:p>
            <w:pPr>
              <w:spacing w:before="20" w:after="20"/>
            </w:pPr>
            <w:r>
              <w:rPr>
                <w:sz w:val="18"/>
              </w:rPr>
              <w:t>30 minutes</w:t>
            </w:r>
          </w:p>
        </w:tc>
        <w:tc>
          <w:tcPr>
            <w:tcW w:type="dxa" w:w="2340"/>
          </w:tcPr>
          <w:p>
            <w:pPr>
              <w:spacing w:before="20" w:after="20"/>
            </w:pPr>
            <w:r>
              <w:rPr>
                <w:sz w:val="18"/>
              </w:rPr>
              <w:t>4 hours</w:t>
            </w:r>
          </w:p>
        </w:tc>
      </w:tr>
      <w:tr>
        <w:tc>
          <w:tcPr>
            <w:tcW w:type="dxa" w:w="2340"/>
          </w:tcPr>
          <w:p>
            <w:pPr>
              <w:spacing w:before="20" w:after="20"/>
            </w:pPr>
            <w:r>
              <w:rPr>
                <w:sz w:val="18"/>
              </w:rPr>
              <w:t>High</w:t>
            </w:r>
          </w:p>
        </w:tc>
        <w:tc>
          <w:tcPr>
            <w:tcW w:type="dxa" w:w="2340"/>
          </w:tcPr>
          <w:p>
            <w:pPr>
              <w:spacing w:before="20" w:after="20"/>
            </w:pPr>
            <w:r>
              <w:rPr>
                <w:sz w:val="18"/>
              </w:rPr>
              <w:t>Major feature inoperable, no workaround</w:t>
            </w:r>
          </w:p>
        </w:tc>
        <w:tc>
          <w:tcPr>
            <w:tcW w:type="dxa" w:w="2340"/>
          </w:tcPr>
          <w:p>
            <w:pPr>
              <w:spacing w:before="20" w:after="20"/>
            </w:pPr>
            <w:r>
              <w:rPr>
                <w:sz w:val="18"/>
              </w:rPr>
              <w:t>2 hours</w:t>
            </w:r>
          </w:p>
        </w:tc>
        <w:tc>
          <w:tcPr>
            <w:tcW w:type="dxa" w:w="2340"/>
          </w:tcPr>
          <w:p>
            <w:pPr>
              <w:spacing w:before="20" w:after="20"/>
            </w:pPr>
            <w:r>
              <w:rPr>
                <w:sz w:val="18"/>
              </w:rPr>
              <w:t>8 hours</w:t>
            </w:r>
          </w:p>
        </w:tc>
      </w:tr>
      <w:tr>
        <w:tc>
          <w:tcPr>
            <w:tcW w:type="dxa" w:w="2340"/>
          </w:tcPr>
          <w:p>
            <w:pPr>
              <w:spacing w:before="20" w:after="20"/>
            </w:pPr>
            <w:r>
              <w:rPr>
                <w:sz w:val="18"/>
              </w:rPr>
              <w:t>Medium</w:t>
            </w:r>
          </w:p>
        </w:tc>
        <w:tc>
          <w:tcPr>
            <w:tcW w:type="dxa" w:w="2340"/>
          </w:tcPr>
          <w:p>
            <w:pPr>
              <w:spacing w:before="20" w:after="20"/>
            </w:pPr>
            <w:r>
              <w:rPr>
                <w:sz w:val="18"/>
              </w:rPr>
              <w:t>Feature degraded with workaround available</w:t>
            </w:r>
          </w:p>
        </w:tc>
        <w:tc>
          <w:tcPr>
            <w:tcW w:type="dxa" w:w="2340"/>
          </w:tcPr>
          <w:p>
            <w:pPr>
              <w:spacing w:before="20" w:after="20"/>
            </w:pPr>
            <w:r>
              <w:rPr>
                <w:sz w:val="18"/>
              </w:rPr>
              <w:t>4 hours</w:t>
            </w:r>
          </w:p>
        </w:tc>
        <w:tc>
          <w:tcPr>
            <w:tcW w:type="dxa" w:w="2340"/>
          </w:tcPr>
          <w:p>
            <w:pPr>
              <w:spacing w:before="20" w:after="20"/>
            </w:pPr>
            <w:r>
              <w:rPr>
                <w:sz w:val="18"/>
              </w:rPr>
              <w:t>3 business days</w:t>
            </w:r>
          </w:p>
        </w:tc>
      </w:tr>
      <w:tr>
        <w:tc>
          <w:tcPr>
            <w:tcW w:type="dxa" w:w="2340"/>
          </w:tcPr>
          <w:p>
            <w:pPr>
              <w:spacing w:before="20" w:after="20"/>
            </w:pPr>
            <w:r>
              <w:rPr>
                <w:sz w:val="18"/>
              </w:rPr>
              <w:t>Low</w:t>
            </w:r>
          </w:p>
        </w:tc>
        <w:tc>
          <w:tcPr>
            <w:tcW w:type="dxa" w:w="2340"/>
          </w:tcPr>
          <w:p>
            <w:pPr>
              <w:spacing w:before="20" w:after="20"/>
            </w:pPr>
            <w:r>
              <w:rPr>
                <w:sz w:val="18"/>
              </w:rPr>
              <w:t>Cosmetic issue or minor inconvenience</w:t>
            </w:r>
          </w:p>
        </w:tc>
        <w:tc>
          <w:tcPr>
            <w:tcW w:type="dxa" w:w="2340"/>
          </w:tcPr>
          <w:p>
            <w:pPr>
              <w:spacing w:before="20" w:after="20"/>
            </w:pPr>
            <w:r>
              <w:rPr>
                <w:sz w:val="18"/>
              </w:rPr>
              <w:t>1 business day</w:t>
            </w:r>
          </w:p>
        </w:tc>
        <w:tc>
          <w:tcPr>
            <w:tcW w:type="dxa" w:w="2340"/>
          </w:tcPr>
          <w:p>
            <w:pPr>
              <w:spacing w:before="20" w:after="20"/>
            </w:pPr>
            <w:r>
              <w:rPr>
                <w:sz w:val="18"/>
              </w:rPr>
              <w:t>10 business days</w:t>
            </w:r>
          </w:p>
        </w:tc>
      </w:tr>
    </w:tbl>
    <w:p/>
    <w:p>
      <w:pPr>
        <w:pStyle w:val="Heading2"/>
      </w:pPr>
      <w:r>
        <w:t>10.2 Incident Response Procedures</w:t>
      </w:r>
    </w:p>
    <w:p>
      <w:pPr>
        <w:pStyle w:val="ListNumber"/>
        <w:spacing w:before="20" w:after="20"/>
      </w:pPr>
      <w:r>
        <w:t>Detection: Automated monitoring alerts, user-reported issues, or audit log anomalies.</w:t>
      </w:r>
    </w:p>
    <w:p>
      <w:pPr>
        <w:pStyle w:val="ListNumber"/>
        <w:spacing w:before="20" w:after="20"/>
      </w:pPr>
      <w:r>
        <w:t>Triage: Help desk categorizes severity per SLA definitions above.</w:t>
      </w:r>
    </w:p>
    <w:p>
      <w:pPr>
        <w:pStyle w:val="ListNumber"/>
        <w:spacing w:before="20" w:after="20"/>
      </w:pPr>
      <w:r>
        <w:t>Escalation: Critical and High severity incidents escalated to development team and CIO immediately.</w:t>
      </w:r>
    </w:p>
    <w:p>
      <w:pPr>
        <w:pStyle w:val="ListNumber"/>
        <w:spacing w:before="20" w:after="20"/>
      </w:pPr>
      <w:r>
        <w:t>Investigation: Root cause analysis conducted; interim mitigation deployed if available.</w:t>
      </w:r>
    </w:p>
    <w:p>
      <w:pPr>
        <w:pStyle w:val="ListNumber"/>
        <w:spacing w:before="20" w:after="20"/>
      </w:pPr>
      <w:r>
        <w:t>Resolution: Fix deployed via emergency change management process.</w:t>
      </w:r>
    </w:p>
    <w:p>
      <w:pPr>
        <w:pStyle w:val="ListNumber"/>
        <w:spacing w:before="20" w:after="20"/>
      </w:pPr>
      <w:r>
        <w:t>Post-Incident Review: Incident report filed within 5 business days; lessons learned documented.</w:t>
      </w:r>
    </w:p>
    <w:p>
      <w:pPr>
        <w:pStyle w:val="Heading2"/>
      </w:pPr>
      <w:r>
        <w:t>10.3 Change Management Process</w:t>
      </w:r>
    </w:p>
    <w:p>
      <w:pPr>
        <w:spacing w:after="80"/>
      </w:pPr>
      <w:r>
        <w:t>All changes to OIG-ITS shall follow the agency's Change Advisory Board (CAB) process:</w:t>
      </w:r>
    </w:p>
    <w:p>
      <w:pPr>
        <w:pStyle w:val="ListNumber"/>
        <w:spacing w:before="20" w:after="20"/>
      </w:pPr>
      <w:r>
        <w:t>Change Request Submission: Requestor submits change request with description, justification, risk assessment, and rollback plan.</w:t>
      </w:r>
    </w:p>
    <w:p>
      <w:pPr>
        <w:pStyle w:val="ListNumber"/>
        <w:spacing w:before="20" w:after="20"/>
      </w:pPr>
      <w:r>
        <w:t>CAB Review: Weekly CAB meeting reviews pending change requests.</w:t>
      </w:r>
    </w:p>
    <w:p>
      <w:pPr>
        <w:pStyle w:val="ListNumber"/>
        <w:spacing w:before="20" w:after="20"/>
      </w:pPr>
      <w:r>
        <w:t>Approval: CAB approves, defers, or rejects changes.</w:t>
      </w:r>
    </w:p>
    <w:p>
      <w:pPr>
        <w:pStyle w:val="ListNumber"/>
        <w:spacing w:before="20" w:after="20"/>
      </w:pPr>
      <w:r>
        <w:t>Implementation: Approved changes deployed during scheduled maintenance windows.</w:t>
      </w:r>
    </w:p>
    <w:p>
      <w:pPr>
        <w:pStyle w:val="ListNumber"/>
        <w:spacing w:before="20" w:after="20"/>
      </w:pPr>
      <w:r>
        <w:t>Validation: Post-deployment validation and stakeholder notification.</w:t>
      </w:r>
    </w:p>
    <w:p>
      <w:pPr>
        <w:pStyle w:val="Heading2"/>
      </w:pPr>
      <w:r>
        <w:t>10.4 Patch Management</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spacing w:before="20" w:after="20"/>
            </w:pPr>
            <w:r>
              <w:rPr>
                <w:sz w:val="18"/>
              </w:rPr>
              <w:t>Component</w:t>
            </w:r>
          </w:p>
        </w:tc>
        <w:tc>
          <w:tcPr>
            <w:tcW w:type="dxa" w:w="3120"/>
          </w:tcPr>
          <w:p>
            <w:pPr>
              <w:spacing w:before="20" w:after="20"/>
            </w:pPr>
            <w:r>
              <w:rPr>
                <w:sz w:val="18"/>
              </w:rPr>
              <w:t>Patch Cadence</w:t>
            </w:r>
          </w:p>
        </w:tc>
        <w:tc>
          <w:tcPr>
            <w:tcW w:type="dxa" w:w="3120"/>
          </w:tcPr>
          <w:p>
            <w:pPr>
              <w:spacing w:before="20" w:after="20"/>
            </w:pPr>
            <w:r>
              <w:rPr>
                <w:sz w:val="18"/>
              </w:rPr>
              <w:t>Responsibility</w:t>
            </w:r>
          </w:p>
        </w:tc>
      </w:tr>
      <w:tr>
        <w:tc>
          <w:tcPr>
            <w:tcW w:type="dxa" w:w="3120"/>
          </w:tcPr>
          <w:p>
            <w:pPr>
              <w:spacing w:before="20" w:after="20"/>
            </w:pPr>
            <w:r>
              <w:rPr>
                <w:sz w:val="18"/>
              </w:rPr>
              <w:t>Operating System</w:t>
            </w:r>
          </w:p>
        </w:tc>
        <w:tc>
          <w:tcPr>
            <w:tcW w:type="dxa" w:w="3120"/>
          </w:tcPr>
          <w:p>
            <w:pPr>
              <w:spacing w:before="20" w:after="20"/>
            </w:pPr>
            <w:r>
              <w:rPr>
                <w:sz w:val="18"/>
              </w:rPr>
              <w:t>Monthly</w:t>
            </w:r>
          </w:p>
        </w:tc>
        <w:tc>
          <w:tcPr>
            <w:tcW w:type="dxa" w:w="3120"/>
          </w:tcPr>
          <w:p>
            <w:pPr>
              <w:spacing w:before="20" w:after="20"/>
            </w:pPr>
            <w:r>
              <w:rPr>
                <w:sz w:val="18"/>
              </w:rPr>
              <w:t>Infrastructure Team</w:t>
            </w:r>
          </w:p>
        </w:tc>
      </w:tr>
      <w:tr>
        <w:tc>
          <w:tcPr>
            <w:tcW w:type="dxa" w:w="3120"/>
          </w:tcPr>
          <w:p>
            <w:pPr>
              <w:spacing w:before="20" w:after="20"/>
            </w:pPr>
            <w:r>
              <w:rPr>
                <w:sz w:val="18"/>
              </w:rPr>
              <w:t>Docker Engine</w:t>
            </w:r>
          </w:p>
        </w:tc>
        <w:tc>
          <w:tcPr>
            <w:tcW w:type="dxa" w:w="3120"/>
          </w:tcPr>
          <w:p>
            <w:pPr>
              <w:spacing w:before="20" w:after="20"/>
            </w:pPr>
            <w:r>
              <w:rPr>
                <w:sz w:val="18"/>
              </w:rPr>
              <w:t>Monthly</w:t>
            </w:r>
          </w:p>
        </w:tc>
        <w:tc>
          <w:tcPr>
            <w:tcW w:type="dxa" w:w="3120"/>
          </w:tcPr>
          <w:p>
            <w:pPr>
              <w:spacing w:before="20" w:after="20"/>
            </w:pPr>
            <w:r>
              <w:rPr>
                <w:sz w:val="18"/>
              </w:rPr>
              <w:t>Infrastructure Team</w:t>
            </w:r>
          </w:p>
        </w:tc>
      </w:tr>
      <w:tr>
        <w:tc>
          <w:tcPr>
            <w:tcW w:type="dxa" w:w="3120"/>
          </w:tcPr>
          <w:p>
            <w:pPr>
              <w:spacing w:before="20" w:after="20"/>
            </w:pPr>
            <w:r>
              <w:rPr>
                <w:sz w:val="18"/>
              </w:rPr>
              <w:t>PostgreSQL</w:t>
            </w:r>
          </w:p>
        </w:tc>
        <w:tc>
          <w:tcPr>
            <w:tcW w:type="dxa" w:w="3120"/>
          </w:tcPr>
          <w:p>
            <w:pPr>
              <w:spacing w:before="20" w:after="20"/>
            </w:pPr>
            <w:r>
              <w:rPr>
                <w:sz w:val="18"/>
              </w:rPr>
              <w:t>Quarterly</w:t>
            </w:r>
          </w:p>
        </w:tc>
        <w:tc>
          <w:tcPr>
            <w:tcW w:type="dxa" w:w="3120"/>
          </w:tcPr>
          <w:p>
            <w:pPr>
              <w:spacing w:before="20" w:after="20"/>
            </w:pPr>
            <w:r>
              <w:rPr>
                <w:sz w:val="18"/>
              </w:rPr>
              <w:t>DBA</w:t>
            </w:r>
          </w:p>
        </w:tc>
      </w:tr>
      <w:tr>
        <w:tc>
          <w:tcPr>
            <w:tcW w:type="dxa" w:w="3120"/>
          </w:tcPr>
          <w:p>
            <w:pPr>
              <w:spacing w:before="20" w:after="20"/>
            </w:pPr>
            <w:r>
              <w:rPr>
                <w:sz w:val="18"/>
              </w:rPr>
              <w:t>Node.js/Next.js</w:t>
            </w:r>
          </w:p>
        </w:tc>
        <w:tc>
          <w:tcPr>
            <w:tcW w:type="dxa" w:w="3120"/>
          </w:tcPr>
          <w:p>
            <w:pPr>
              <w:spacing w:before="20" w:after="20"/>
            </w:pPr>
            <w:r>
              <w:rPr>
                <w:sz w:val="18"/>
              </w:rPr>
              <w:t>Quarterly</w:t>
            </w:r>
          </w:p>
        </w:tc>
        <w:tc>
          <w:tcPr>
            <w:tcW w:type="dxa" w:w="3120"/>
          </w:tcPr>
          <w:p>
            <w:pPr>
              <w:spacing w:before="20" w:after="20"/>
            </w:pPr>
            <w:r>
              <w:rPr>
                <w:sz w:val="18"/>
              </w:rPr>
              <w:t>Development Team</w:t>
            </w:r>
          </w:p>
        </w:tc>
      </w:tr>
      <w:tr>
        <w:tc>
          <w:tcPr>
            <w:tcW w:type="dxa" w:w="3120"/>
          </w:tcPr>
          <w:p>
            <w:pPr>
              <w:spacing w:before="20" w:after="20"/>
            </w:pPr>
            <w:r>
              <w:rPr>
                <w:sz w:val="18"/>
              </w:rPr>
              <w:t>npm Dependencies</w:t>
            </w:r>
          </w:p>
        </w:tc>
        <w:tc>
          <w:tcPr>
            <w:tcW w:type="dxa" w:w="3120"/>
          </w:tcPr>
          <w:p>
            <w:pPr>
              <w:spacing w:before="20" w:after="20"/>
            </w:pPr>
            <w:r>
              <w:rPr>
                <w:sz w:val="18"/>
              </w:rPr>
              <w:t>Monthly (security)</w:t>
            </w:r>
          </w:p>
        </w:tc>
        <w:tc>
          <w:tcPr>
            <w:tcW w:type="dxa" w:w="3120"/>
          </w:tcPr>
          <w:p>
            <w:pPr>
              <w:spacing w:before="20" w:after="20"/>
            </w:pPr>
            <w:r>
              <w:rPr>
                <w:sz w:val="18"/>
              </w:rPr>
              <w:t>Development Team</w:t>
            </w:r>
          </w:p>
        </w:tc>
      </w:tr>
      <w:tr>
        <w:tc>
          <w:tcPr>
            <w:tcW w:type="dxa" w:w="3120"/>
          </w:tcPr>
          <w:p>
            <w:pPr>
              <w:spacing w:before="20" w:after="20"/>
            </w:pPr>
            <w:r>
              <w:rPr>
                <w:sz w:val="18"/>
              </w:rPr>
              <w:t>MeiliSearch</w:t>
            </w:r>
          </w:p>
        </w:tc>
        <w:tc>
          <w:tcPr>
            <w:tcW w:type="dxa" w:w="3120"/>
          </w:tcPr>
          <w:p>
            <w:pPr>
              <w:spacing w:before="20" w:after="20"/>
            </w:pPr>
            <w:r>
              <w:rPr>
                <w:sz w:val="18"/>
              </w:rPr>
              <w:t>Quarterly</w:t>
            </w:r>
          </w:p>
        </w:tc>
        <w:tc>
          <w:tcPr>
            <w:tcW w:type="dxa" w:w="3120"/>
          </w:tcPr>
          <w:p>
            <w:pPr>
              <w:spacing w:before="20" w:after="20"/>
            </w:pPr>
            <w:r>
              <w:rPr>
                <w:sz w:val="18"/>
              </w:rPr>
              <w:t>Infrastructure Team</w:t>
            </w:r>
          </w:p>
        </w:tc>
      </w:tr>
      <w:tr>
        <w:tc>
          <w:tcPr>
            <w:tcW w:type="dxa" w:w="3120"/>
          </w:tcPr>
          <w:p>
            <w:pPr>
              <w:spacing w:before="20" w:after="20"/>
            </w:pPr>
            <w:r>
              <w:rPr>
                <w:sz w:val="18"/>
              </w:rPr>
              <w:t>MinIO</w:t>
            </w:r>
          </w:p>
        </w:tc>
        <w:tc>
          <w:tcPr>
            <w:tcW w:type="dxa" w:w="3120"/>
          </w:tcPr>
          <w:p>
            <w:pPr>
              <w:spacing w:before="20" w:after="20"/>
            </w:pPr>
            <w:r>
              <w:rPr>
                <w:sz w:val="18"/>
              </w:rPr>
              <w:t>Quarterly</w:t>
            </w:r>
          </w:p>
        </w:tc>
        <w:tc>
          <w:tcPr>
            <w:tcW w:type="dxa" w:w="3120"/>
          </w:tcPr>
          <w:p>
            <w:pPr>
              <w:spacing w:before="20" w:after="20"/>
            </w:pPr>
            <w:r>
              <w:rPr>
                <w:sz w:val="18"/>
              </w:rPr>
              <w:t>Infrastructure Team</w:t>
            </w:r>
          </w:p>
        </w:tc>
      </w:tr>
      <w:tr>
        <w:tc>
          <w:tcPr>
            <w:tcW w:type="dxa" w:w="3120"/>
          </w:tcPr>
          <w:p>
            <w:pPr>
              <w:spacing w:before="20" w:after="20"/>
            </w:pPr>
            <w:r>
              <w:rPr>
                <w:sz w:val="18"/>
              </w:rPr>
              <w:t>Redis</w:t>
            </w:r>
          </w:p>
        </w:tc>
        <w:tc>
          <w:tcPr>
            <w:tcW w:type="dxa" w:w="3120"/>
          </w:tcPr>
          <w:p>
            <w:pPr>
              <w:spacing w:before="20" w:after="20"/>
            </w:pPr>
            <w:r>
              <w:rPr>
                <w:sz w:val="18"/>
              </w:rPr>
              <w:t>Quarterly</w:t>
            </w:r>
          </w:p>
        </w:tc>
        <w:tc>
          <w:tcPr>
            <w:tcW w:type="dxa" w:w="3120"/>
          </w:tcPr>
          <w:p>
            <w:pPr>
              <w:spacing w:before="20" w:after="20"/>
            </w:pPr>
            <w:r>
              <w:rPr>
                <w:sz w:val="18"/>
              </w:rPr>
              <w:t>Infrastructure Team</w:t>
            </w:r>
          </w:p>
        </w:tc>
      </w:tr>
    </w:tbl>
    <w:p/>
    <w:p>
      <w:pPr>
        <w:pStyle w:val="Heading2"/>
      </w:pPr>
      <w:r>
        <w:t>10.5 Backup Schedule</w:t>
      </w:r>
    </w:p>
    <w:tbl>
      <w:tblPr>
        <w:tblStyle w:val="LightGrid-Accent1"/>
        <w:tblW w:type="auto" w:w="0"/>
        <w:jc w:val="left"/>
        <w:tblLook w:firstColumn="1" w:firstRow="1" w:lastColumn="0" w:lastRow="0" w:noHBand="0" w:noVBand="1" w:val="04A0"/>
      </w:tblPr>
      <w:tblGrid>
        <w:gridCol w:w="1872"/>
        <w:gridCol w:w="1872"/>
        <w:gridCol w:w="1872"/>
        <w:gridCol w:w="1872"/>
        <w:gridCol w:w="1872"/>
      </w:tblGrid>
      <w:tr>
        <w:tc>
          <w:tcPr>
            <w:tcW w:type="dxa" w:w="1872"/>
          </w:tcPr>
          <w:p>
            <w:pPr>
              <w:spacing w:before="20" w:after="20"/>
            </w:pPr>
            <w:r>
              <w:rPr>
                <w:sz w:val="18"/>
              </w:rPr>
              <w:t>Component</w:t>
            </w:r>
          </w:p>
        </w:tc>
        <w:tc>
          <w:tcPr>
            <w:tcW w:type="dxa" w:w="1872"/>
          </w:tcPr>
          <w:p>
            <w:pPr>
              <w:spacing w:before="20" w:after="20"/>
            </w:pPr>
            <w:r>
              <w:rPr>
                <w:sz w:val="18"/>
              </w:rPr>
              <w:t>Backup Type</w:t>
            </w:r>
          </w:p>
        </w:tc>
        <w:tc>
          <w:tcPr>
            <w:tcW w:type="dxa" w:w="1872"/>
          </w:tcPr>
          <w:p>
            <w:pPr>
              <w:spacing w:before="20" w:after="20"/>
            </w:pPr>
            <w:r>
              <w:rPr>
                <w:sz w:val="18"/>
              </w:rPr>
              <w:t>Frequency</w:t>
            </w:r>
          </w:p>
        </w:tc>
        <w:tc>
          <w:tcPr>
            <w:tcW w:type="dxa" w:w="1872"/>
          </w:tcPr>
          <w:p>
            <w:pPr>
              <w:spacing w:before="20" w:after="20"/>
            </w:pPr>
            <w:r>
              <w:rPr>
                <w:sz w:val="18"/>
              </w:rPr>
              <w:t>Retention</w:t>
            </w:r>
          </w:p>
        </w:tc>
        <w:tc>
          <w:tcPr>
            <w:tcW w:type="dxa" w:w="1872"/>
          </w:tcPr>
          <w:p>
            <w:pPr>
              <w:spacing w:before="20" w:after="20"/>
            </w:pPr>
            <w:r>
              <w:rPr>
                <w:sz w:val="18"/>
              </w:rPr>
              <w:t>Storage Location</w:t>
            </w:r>
          </w:p>
        </w:tc>
      </w:tr>
      <w:tr>
        <w:tc>
          <w:tcPr>
            <w:tcW w:type="dxa" w:w="1872"/>
          </w:tcPr>
          <w:p>
            <w:pPr>
              <w:spacing w:before="20" w:after="20"/>
            </w:pPr>
            <w:r>
              <w:rPr>
                <w:sz w:val="18"/>
              </w:rPr>
              <w:t>PostgreSQL</w:t>
            </w:r>
          </w:p>
        </w:tc>
        <w:tc>
          <w:tcPr>
            <w:tcW w:type="dxa" w:w="1872"/>
          </w:tcPr>
          <w:p>
            <w:pPr>
              <w:spacing w:before="20" w:after="20"/>
            </w:pPr>
            <w:r>
              <w:rPr>
                <w:sz w:val="18"/>
              </w:rPr>
              <w:t>Full dump</w:t>
            </w:r>
          </w:p>
        </w:tc>
        <w:tc>
          <w:tcPr>
            <w:tcW w:type="dxa" w:w="1872"/>
          </w:tcPr>
          <w:p>
            <w:pPr>
              <w:spacing w:before="20" w:after="20"/>
            </w:pPr>
            <w:r>
              <w:rPr>
                <w:sz w:val="18"/>
              </w:rPr>
              <w:t>Daily (02:00)</w:t>
            </w:r>
          </w:p>
        </w:tc>
        <w:tc>
          <w:tcPr>
            <w:tcW w:type="dxa" w:w="1872"/>
          </w:tcPr>
          <w:p>
            <w:pPr>
              <w:spacing w:before="20" w:after="20"/>
            </w:pPr>
            <w:r>
              <w:rPr>
                <w:sz w:val="18"/>
              </w:rPr>
              <w:t>30 days</w:t>
            </w:r>
          </w:p>
        </w:tc>
        <w:tc>
          <w:tcPr>
            <w:tcW w:type="dxa" w:w="1872"/>
          </w:tcPr>
          <w:p>
            <w:pPr>
              <w:spacing w:before="20" w:after="20"/>
            </w:pPr>
            <w:r>
              <w:rPr>
                <w:sz w:val="18"/>
              </w:rPr>
              <w:t>Network storage</w:t>
            </w:r>
          </w:p>
        </w:tc>
      </w:tr>
      <w:tr>
        <w:tc>
          <w:tcPr>
            <w:tcW w:type="dxa" w:w="1872"/>
          </w:tcPr>
          <w:p>
            <w:pPr>
              <w:spacing w:before="20" w:after="20"/>
            </w:pPr>
            <w:r>
              <w:rPr>
                <w:sz w:val="18"/>
              </w:rPr>
              <w:t>PostgreSQL</w:t>
            </w:r>
          </w:p>
        </w:tc>
        <w:tc>
          <w:tcPr>
            <w:tcW w:type="dxa" w:w="1872"/>
          </w:tcPr>
          <w:p>
            <w:pPr>
              <w:spacing w:before="20" w:after="20"/>
            </w:pPr>
            <w:r>
              <w:rPr>
                <w:sz w:val="18"/>
              </w:rPr>
              <w:t>WAL archiving</w:t>
            </w:r>
          </w:p>
        </w:tc>
        <w:tc>
          <w:tcPr>
            <w:tcW w:type="dxa" w:w="1872"/>
          </w:tcPr>
          <w:p>
            <w:pPr>
              <w:spacing w:before="20" w:after="20"/>
            </w:pPr>
            <w:r>
              <w:rPr>
                <w:sz w:val="18"/>
              </w:rPr>
              <w:t>Continuous</w:t>
            </w:r>
          </w:p>
        </w:tc>
        <w:tc>
          <w:tcPr>
            <w:tcW w:type="dxa" w:w="1872"/>
          </w:tcPr>
          <w:p>
            <w:pPr>
              <w:spacing w:before="20" w:after="20"/>
            </w:pPr>
            <w:r>
              <w:rPr>
                <w:sz w:val="18"/>
              </w:rPr>
              <w:t>7 days</w:t>
            </w:r>
          </w:p>
        </w:tc>
        <w:tc>
          <w:tcPr>
            <w:tcW w:type="dxa" w:w="1872"/>
          </w:tcPr>
          <w:p>
            <w:pPr>
              <w:spacing w:before="20" w:after="20"/>
            </w:pPr>
            <w:r>
              <w:rPr>
                <w:sz w:val="18"/>
              </w:rPr>
              <w:t>Network storage</w:t>
            </w:r>
          </w:p>
        </w:tc>
      </w:tr>
      <w:tr>
        <w:tc>
          <w:tcPr>
            <w:tcW w:type="dxa" w:w="1872"/>
          </w:tcPr>
          <w:p>
            <w:pPr>
              <w:spacing w:before="20" w:after="20"/>
            </w:pPr>
            <w:r>
              <w:rPr>
                <w:sz w:val="18"/>
              </w:rPr>
              <w:t>MinIO (files)</w:t>
            </w:r>
          </w:p>
        </w:tc>
        <w:tc>
          <w:tcPr>
            <w:tcW w:type="dxa" w:w="1872"/>
          </w:tcPr>
          <w:p>
            <w:pPr>
              <w:spacing w:before="20" w:after="20"/>
            </w:pPr>
            <w:r>
              <w:rPr>
                <w:sz w:val="18"/>
              </w:rPr>
              <w:t>Incremental sync</w:t>
            </w:r>
          </w:p>
        </w:tc>
        <w:tc>
          <w:tcPr>
            <w:tcW w:type="dxa" w:w="1872"/>
          </w:tcPr>
          <w:p>
            <w:pPr>
              <w:spacing w:before="20" w:after="20"/>
            </w:pPr>
            <w:r>
              <w:rPr>
                <w:sz w:val="18"/>
              </w:rPr>
              <w:t>Daily (03:00)</w:t>
            </w:r>
          </w:p>
        </w:tc>
        <w:tc>
          <w:tcPr>
            <w:tcW w:type="dxa" w:w="1872"/>
          </w:tcPr>
          <w:p>
            <w:pPr>
              <w:spacing w:before="20" w:after="20"/>
            </w:pPr>
            <w:r>
              <w:rPr>
                <w:sz w:val="18"/>
              </w:rPr>
              <w:t>30 days</w:t>
            </w:r>
          </w:p>
        </w:tc>
        <w:tc>
          <w:tcPr>
            <w:tcW w:type="dxa" w:w="1872"/>
          </w:tcPr>
          <w:p>
            <w:pPr>
              <w:spacing w:before="20" w:after="20"/>
            </w:pPr>
            <w:r>
              <w:rPr>
                <w:sz w:val="18"/>
              </w:rPr>
              <w:t>Network storage</w:t>
            </w:r>
          </w:p>
        </w:tc>
      </w:tr>
      <w:tr>
        <w:tc>
          <w:tcPr>
            <w:tcW w:type="dxa" w:w="1872"/>
          </w:tcPr>
          <w:p>
            <w:pPr>
              <w:spacing w:before="20" w:after="20"/>
            </w:pPr>
            <w:r>
              <w:rPr>
                <w:sz w:val="18"/>
              </w:rPr>
              <w:t>MeiliSearch</w:t>
            </w:r>
          </w:p>
        </w:tc>
        <w:tc>
          <w:tcPr>
            <w:tcW w:type="dxa" w:w="1872"/>
          </w:tcPr>
          <w:p>
            <w:pPr>
              <w:spacing w:before="20" w:after="20"/>
            </w:pPr>
            <w:r>
              <w:rPr>
                <w:sz w:val="18"/>
              </w:rPr>
              <w:t>Index snapshot</w:t>
            </w:r>
          </w:p>
        </w:tc>
        <w:tc>
          <w:tcPr>
            <w:tcW w:type="dxa" w:w="1872"/>
          </w:tcPr>
          <w:p>
            <w:pPr>
              <w:spacing w:before="20" w:after="20"/>
            </w:pPr>
            <w:r>
              <w:rPr>
                <w:sz w:val="18"/>
              </w:rPr>
              <w:t>Daily (04:00)</w:t>
            </w:r>
          </w:p>
        </w:tc>
        <w:tc>
          <w:tcPr>
            <w:tcW w:type="dxa" w:w="1872"/>
          </w:tcPr>
          <w:p>
            <w:pPr>
              <w:spacing w:before="20" w:after="20"/>
            </w:pPr>
            <w:r>
              <w:rPr>
                <w:sz w:val="18"/>
              </w:rPr>
              <w:t>14 days</w:t>
            </w:r>
          </w:p>
        </w:tc>
        <w:tc>
          <w:tcPr>
            <w:tcW w:type="dxa" w:w="1872"/>
          </w:tcPr>
          <w:p>
            <w:pPr>
              <w:spacing w:before="20" w:after="20"/>
            </w:pPr>
            <w:r>
              <w:rPr>
                <w:sz w:val="18"/>
              </w:rPr>
              <w:t>Network storage</w:t>
            </w:r>
          </w:p>
        </w:tc>
      </w:tr>
      <w:tr>
        <w:tc>
          <w:tcPr>
            <w:tcW w:type="dxa" w:w="1872"/>
          </w:tcPr>
          <w:p>
            <w:pPr>
              <w:spacing w:before="20" w:after="20"/>
            </w:pPr>
            <w:r>
              <w:rPr>
                <w:sz w:val="18"/>
              </w:rPr>
              <w:t>Redis</w:t>
            </w:r>
          </w:p>
        </w:tc>
        <w:tc>
          <w:tcPr>
            <w:tcW w:type="dxa" w:w="1872"/>
          </w:tcPr>
          <w:p>
            <w:pPr>
              <w:spacing w:before="20" w:after="20"/>
            </w:pPr>
            <w:r>
              <w:rPr>
                <w:sz w:val="18"/>
              </w:rPr>
              <w:t>RDB snapshot</w:t>
            </w:r>
          </w:p>
        </w:tc>
        <w:tc>
          <w:tcPr>
            <w:tcW w:type="dxa" w:w="1872"/>
          </w:tcPr>
          <w:p>
            <w:pPr>
              <w:spacing w:before="20" w:after="20"/>
            </w:pPr>
            <w:r>
              <w:rPr>
                <w:sz w:val="18"/>
              </w:rPr>
              <w:t>Every 6 hours</w:t>
            </w:r>
          </w:p>
        </w:tc>
        <w:tc>
          <w:tcPr>
            <w:tcW w:type="dxa" w:w="1872"/>
          </w:tcPr>
          <w:p>
            <w:pPr>
              <w:spacing w:before="20" w:after="20"/>
            </w:pPr>
            <w:r>
              <w:rPr>
                <w:sz w:val="18"/>
              </w:rPr>
              <w:t>7 days</w:t>
            </w:r>
          </w:p>
        </w:tc>
        <w:tc>
          <w:tcPr>
            <w:tcW w:type="dxa" w:w="1872"/>
          </w:tcPr>
          <w:p>
            <w:pPr>
              <w:spacing w:before="20" w:after="20"/>
            </w:pPr>
            <w:r>
              <w:rPr>
                <w:sz w:val="18"/>
              </w:rPr>
              <w:t>Network storage</w:t>
            </w:r>
          </w:p>
        </w:tc>
      </w:tr>
      <w:tr>
        <w:tc>
          <w:tcPr>
            <w:tcW w:type="dxa" w:w="1872"/>
          </w:tcPr>
          <w:p>
            <w:pPr>
              <w:spacing w:before="20" w:after="20"/>
            </w:pPr>
            <w:r>
              <w:rPr>
                <w:sz w:val="18"/>
              </w:rPr>
              <w:t>Application config</w:t>
            </w:r>
          </w:p>
        </w:tc>
        <w:tc>
          <w:tcPr>
            <w:tcW w:type="dxa" w:w="1872"/>
          </w:tcPr>
          <w:p>
            <w:pPr>
              <w:spacing w:before="20" w:after="20"/>
            </w:pPr>
            <w:r>
              <w:rPr>
                <w:sz w:val="18"/>
              </w:rPr>
              <w:t>Full backup</w:t>
            </w:r>
          </w:p>
        </w:tc>
        <w:tc>
          <w:tcPr>
            <w:tcW w:type="dxa" w:w="1872"/>
          </w:tcPr>
          <w:p>
            <w:pPr>
              <w:spacing w:before="20" w:after="20"/>
            </w:pPr>
            <w:r>
              <w:rPr>
                <w:sz w:val="18"/>
              </w:rPr>
              <w:t>Weekly</w:t>
            </w:r>
          </w:p>
        </w:tc>
        <w:tc>
          <w:tcPr>
            <w:tcW w:type="dxa" w:w="1872"/>
          </w:tcPr>
          <w:p>
            <w:pPr>
              <w:spacing w:before="20" w:after="20"/>
            </w:pPr>
            <w:r>
              <w:rPr>
                <w:sz w:val="18"/>
              </w:rPr>
              <w:t>90 days</w:t>
            </w:r>
          </w:p>
        </w:tc>
        <w:tc>
          <w:tcPr>
            <w:tcW w:type="dxa" w:w="1872"/>
          </w:tcPr>
          <w:p>
            <w:pPr>
              <w:spacing w:before="20" w:after="20"/>
            </w:pPr>
            <w:r>
              <w:rPr>
                <w:sz w:val="18"/>
              </w:rPr>
              <w:t>Network storage</w:t>
            </w:r>
          </w:p>
        </w:tc>
      </w:tr>
    </w:tbl>
    <w:p/>
    <w:p>
      <w:r>
        <w:t>____________________________________________________________</w:t>
      </w:r>
    </w:p>
    <w:p>
      <w:pPr>
        <w:pStyle w:val="Heading1"/>
      </w:pPr>
      <w:r>
        <w:t>11. Milestones and Schedule</w:t>
      </w:r>
    </w:p>
    <w:p>
      <w:pPr>
        <w:pStyle w:val="Heading2"/>
      </w:pPr>
      <w:r>
        <w:t>11.1 Milestone Table</w:t>
      </w:r>
    </w:p>
    <w:tbl>
      <w:tblPr>
        <w:tblStyle w:val="LightGrid-Accent1"/>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before="20" w:after="20"/>
            </w:pPr>
            <w:r>
              <w:rPr>
                <w:sz w:val="18"/>
              </w:rPr>
              <w:t>ID</w:t>
            </w:r>
          </w:p>
        </w:tc>
        <w:tc>
          <w:tcPr>
            <w:tcW w:type="dxa" w:w="1337"/>
          </w:tcPr>
          <w:p>
            <w:pPr>
              <w:spacing w:before="20" w:after="20"/>
            </w:pPr>
            <w:r>
              <w:rPr>
                <w:sz w:val="18"/>
              </w:rPr>
              <w:t>Milestone</w:t>
            </w:r>
          </w:p>
        </w:tc>
        <w:tc>
          <w:tcPr>
            <w:tcW w:type="dxa" w:w="1337"/>
          </w:tcPr>
          <w:p>
            <w:pPr>
              <w:spacing w:before="20" w:after="20"/>
            </w:pPr>
            <w:r>
              <w:rPr>
                <w:sz w:val="18"/>
              </w:rPr>
              <w:t>Start</w:t>
            </w:r>
          </w:p>
        </w:tc>
        <w:tc>
          <w:tcPr>
            <w:tcW w:type="dxa" w:w="1337"/>
          </w:tcPr>
          <w:p>
            <w:pPr>
              <w:spacing w:before="20" w:after="20"/>
            </w:pPr>
            <w:r>
              <w:rPr>
                <w:sz w:val="18"/>
              </w:rPr>
              <w:t>End</w:t>
            </w:r>
          </w:p>
        </w:tc>
        <w:tc>
          <w:tcPr>
            <w:tcW w:type="dxa" w:w="1337"/>
          </w:tcPr>
          <w:p>
            <w:pPr>
              <w:spacing w:before="20" w:after="20"/>
            </w:pPr>
            <w:r>
              <w:rPr>
                <w:sz w:val="18"/>
              </w:rPr>
              <w:t>Duration</w:t>
            </w:r>
          </w:p>
        </w:tc>
        <w:tc>
          <w:tcPr>
            <w:tcW w:type="dxa" w:w="1337"/>
          </w:tcPr>
          <w:p>
            <w:pPr>
              <w:spacing w:before="20" w:after="20"/>
            </w:pPr>
            <w:r>
              <w:rPr>
                <w:sz w:val="18"/>
              </w:rPr>
              <w:t>Dependencies</w:t>
            </w:r>
          </w:p>
        </w:tc>
        <w:tc>
          <w:tcPr>
            <w:tcW w:type="dxa" w:w="1337"/>
          </w:tcPr>
          <w:p>
            <w:pPr>
              <w:spacing w:before="20" w:after="20"/>
            </w:pPr>
            <w:r>
              <w:rPr>
                <w:sz w:val="18"/>
              </w:rPr>
              <w:t>Go/No-Go</w:t>
            </w:r>
          </w:p>
        </w:tc>
      </w:tr>
      <w:tr>
        <w:tc>
          <w:tcPr>
            <w:tcW w:type="dxa" w:w="1337"/>
          </w:tcPr>
          <w:p>
            <w:pPr>
              <w:spacing w:before="20" w:after="20"/>
            </w:pPr>
            <w:r>
              <w:rPr>
                <w:sz w:val="18"/>
              </w:rPr>
              <w:t>M-01</w:t>
            </w:r>
          </w:p>
        </w:tc>
        <w:tc>
          <w:tcPr>
            <w:tcW w:type="dxa" w:w="1337"/>
          </w:tcPr>
          <w:p>
            <w:pPr>
              <w:spacing w:before="20" w:after="20"/>
            </w:pPr>
            <w:r>
              <w:rPr>
                <w:sz w:val="18"/>
              </w:rPr>
              <w:t>Infrastructure Provisioning Complete</w:t>
            </w:r>
          </w:p>
        </w:tc>
        <w:tc>
          <w:tcPr>
            <w:tcW w:type="dxa" w:w="1337"/>
          </w:tcPr>
          <w:p>
            <w:pPr>
              <w:spacing w:before="20" w:after="20"/>
            </w:pPr>
            <w:r>
              <w:rPr>
                <w:sz w:val="18"/>
              </w:rPr>
              <w:t>Week 1</w:t>
            </w:r>
          </w:p>
        </w:tc>
        <w:tc>
          <w:tcPr>
            <w:tcW w:type="dxa" w:w="1337"/>
          </w:tcPr>
          <w:p>
            <w:pPr>
              <w:spacing w:before="20" w:after="20"/>
            </w:pPr>
            <w:r>
              <w:rPr>
                <w:sz w:val="18"/>
              </w:rPr>
              <w:t>Week 2</w:t>
            </w:r>
          </w:p>
        </w:tc>
        <w:tc>
          <w:tcPr>
            <w:tcW w:type="dxa" w:w="1337"/>
          </w:tcPr>
          <w:p>
            <w:pPr>
              <w:spacing w:before="20" w:after="20"/>
            </w:pPr>
            <w:r>
              <w:rPr>
                <w:sz w:val="18"/>
              </w:rPr>
              <w:t>2 weeks</w:t>
            </w:r>
          </w:p>
        </w:tc>
        <w:tc>
          <w:tcPr>
            <w:tcW w:type="dxa" w:w="1337"/>
          </w:tcPr>
          <w:p>
            <w:pPr>
              <w:spacing w:before="20" w:after="20"/>
            </w:pPr>
            <w:r>
              <w:rPr>
                <w:sz w:val="18"/>
              </w:rPr>
              <w:t>ATO (Interim)</w:t>
            </w:r>
          </w:p>
        </w:tc>
        <w:tc>
          <w:tcPr>
            <w:tcW w:type="dxa" w:w="1337"/>
          </w:tcPr>
          <w:p>
            <w:pPr>
              <w:spacing w:before="20" w:after="20"/>
            </w:pPr>
            <w:r>
              <w:rPr>
                <w:sz w:val="18"/>
              </w:rPr>
              <w:t>Yes</w:t>
            </w:r>
          </w:p>
        </w:tc>
      </w:tr>
      <w:tr>
        <w:tc>
          <w:tcPr>
            <w:tcW w:type="dxa" w:w="1337"/>
          </w:tcPr>
          <w:p>
            <w:pPr>
              <w:spacing w:before="20" w:after="20"/>
            </w:pPr>
            <w:r>
              <w:rPr>
                <w:sz w:val="18"/>
              </w:rPr>
              <w:t>M-02</w:t>
            </w:r>
          </w:p>
        </w:tc>
        <w:tc>
          <w:tcPr>
            <w:tcW w:type="dxa" w:w="1337"/>
          </w:tcPr>
          <w:p>
            <w:pPr>
              <w:spacing w:before="20" w:after="20"/>
            </w:pPr>
            <w:r>
              <w:rPr>
                <w:sz w:val="18"/>
              </w:rPr>
              <w:t>Application Deployed to Production</w:t>
            </w:r>
          </w:p>
        </w:tc>
        <w:tc>
          <w:tcPr>
            <w:tcW w:type="dxa" w:w="1337"/>
          </w:tcPr>
          <w:p>
            <w:pPr>
              <w:spacing w:before="20" w:after="20"/>
            </w:pPr>
            <w:r>
              <w:rPr>
                <w:sz w:val="18"/>
              </w:rPr>
              <w:t>Week 3</w:t>
            </w:r>
          </w:p>
        </w:tc>
        <w:tc>
          <w:tcPr>
            <w:tcW w:type="dxa" w:w="1337"/>
          </w:tcPr>
          <w:p>
            <w:pPr>
              <w:spacing w:before="20" w:after="20"/>
            </w:pPr>
            <w:r>
              <w:rPr>
                <w:sz w:val="18"/>
              </w:rPr>
              <w:t>Week 4</w:t>
            </w:r>
          </w:p>
        </w:tc>
        <w:tc>
          <w:tcPr>
            <w:tcW w:type="dxa" w:w="1337"/>
          </w:tcPr>
          <w:p>
            <w:pPr>
              <w:spacing w:before="20" w:after="20"/>
            </w:pPr>
            <w:r>
              <w:rPr>
                <w:sz w:val="18"/>
              </w:rPr>
              <w:t>2 weeks</w:t>
            </w:r>
          </w:p>
        </w:tc>
        <w:tc>
          <w:tcPr>
            <w:tcW w:type="dxa" w:w="1337"/>
          </w:tcPr>
          <w:p>
            <w:pPr>
              <w:spacing w:before="20" w:after="20"/>
            </w:pPr>
            <w:r>
              <w:rPr>
                <w:sz w:val="18"/>
              </w:rPr>
              <w:t>M-01</w:t>
            </w:r>
          </w:p>
        </w:tc>
        <w:tc>
          <w:tcPr>
            <w:tcW w:type="dxa" w:w="1337"/>
          </w:tcPr>
          <w:p>
            <w:pPr>
              <w:spacing w:before="20" w:after="20"/>
            </w:pPr>
            <w:r>
              <w:rPr>
                <w:sz w:val="18"/>
              </w:rPr>
              <w:t>Yes</w:t>
            </w:r>
          </w:p>
        </w:tc>
      </w:tr>
      <w:tr>
        <w:tc>
          <w:tcPr>
            <w:tcW w:type="dxa" w:w="1337"/>
          </w:tcPr>
          <w:p>
            <w:pPr>
              <w:spacing w:before="20" w:after="20"/>
            </w:pPr>
            <w:r>
              <w:rPr>
                <w:sz w:val="18"/>
              </w:rPr>
              <w:t>M-03</w:t>
            </w:r>
          </w:p>
        </w:tc>
        <w:tc>
          <w:tcPr>
            <w:tcW w:type="dxa" w:w="1337"/>
          </w:tcPr>
          <w:p>
            <w:pPr>
              <w:spacing w:before="20" w:after="20"/>
            </w:pPr>
            <w:r>
              <w:rPr>
                <w:sz w:val="18"/>
              </w:rPr>
              <w:t>Database Migrations Executed</w:t>
            </w:r>
          </w:p>
        </w:tc>
        <w:tc>
          <w:tcPr>
            <w:tcW w:type="dxa" w:w="1337"/>
          </w:tcPr>
          <w:p>
            <w:pPr>
              <w:spacing w:before="20" w:after="20"/>
            </w:pPr>
            <w:r>
              <w:rPr>
                <w:sz w:val="18"/>
              </w:rPr>
              <w:t>Week 3</w:t>
            </w:r>
          </w:p>
        </w:tc>
        <w:tc>
          <w:tcPr>
            <w:tcW w:type="dxa" w:w="1337"/>
          </w:tcPr>
          <w:p>
            <w:pPr>
              <w:spacing w:before="20" w:after="20"/>
            </w:pPr>
            <w:r>
              <w:rPr>
                <w:sz w:val="18"/>
              </w:rPr>
              <w:t>Week 3</w:t>
            </w:r>
          </w:p>
        </w:tc>
        <w:tc>
          <w:tcPr>
            <w:tcW w:type="dxa" w:w="1337"/>
          </w:tcPr>
          <w:p>
            <w:pPr>
              <w:spacing w:before="20" w:after="20"/>
            </w:pPr>
            <w:r>
              <w:rPr>
                <w:sz w:val="18"/>
              </w:rPr>
              <w:t>1 week</w:t>
            </w:r>
          </w:p>
        </w:tc>
        <w:tc>
          <w:tcPr>
            <w:tcW w:type="dxa" w:w="1337"/>
          </w:tcPr>
          <w:p>
            <w:pPr>
              <w:spacing w:before="20" w:after="20"/>
            </w:pPr>
            <w:r>
              <w:rPr>
                <w:sz w:val="18"/>
              </w:rPr>
              <w:t>M-01</w:t>
            </w:r>
          </w:p>
        </w:tc>
        <w:tc>
          <w:tcPr>
            <w:tcW w:type="dxa" w:w="1337"/>
          </w:tcPr>
          <w:p>
            <w:pPr>
              <w:spacing w:before="20" w:after="20"/>
            </w:pPr>
            <w:r>
              <w:rPr>
                <w:sz w:val="18"/>
              </w:rPr>
              <w:t>No</w:t>
            </w:r>
          </w:p>
        </w:tc>
      </w:tr>
      <w:tr>
        <w:tc>
          <w:tcPr>
            <w:tcW w:type="dxa" w:w="1337"/>
          </w:tcPr>
          <w:p>
            <w:pPr>
              <w:spacing w:before="20" w:after="20"/>
            </w:pPr>
            <w:r>
              <w:rPr>
                <w:sz w:val="18"/>
              </w:rPr>
              <w:t>M-04</w:t>
            </w:r>
          </w:p>
        </w:tc>
        <w:tc>
          <w:tcPr>
            <w:tcW w:type="dxa" w:w="1337"/>
          </w:tcPr>
          <w:p>
            <w:pPr>
              <w:spacing w:before="20" w:after="20"/>
            </w:pPr>
            <w:r>
              <w:rPr>
                <w:sz w:val="18"/>
              </w:rPr>
              <w:t>RBAC Configuration Validated</w:t>
            </w:r>
          </w:p>
        </w:tc>
        <w:tc>
          <w:tcPr>
            <w:tcW w:type="dxa" w:w="1337"/>
          </w:tcPr>
          <w:p>
            <w:pPr>
              <w:spacing w:before="20" w:after="20"/>
            </w:pPr>
            <w:r>
              <w:rPr>
                <w:sz w:val="18"/>
              </w:rPr>
              <w:t>Week 4</w:t>
            </w:r>
          </w:p>
        </w:tc>
        <w:tc>
          <w:tcPr>
            <w:tcW w:type="dxa" w:w="1337"/>
          </w:tcPr>
          <w:p>
            <w:pPr>
              <w:spacing w:before="20" w:after="20"/>
            </w:pPr>
            <w:r>
              <w:rPr>
                <w:sz w:val="18"/>
              </w:rPr>
              <w:t>Week 4</w:t>
            </w:r>
          </w:p>
        </w:tc>
        <w:tc>
          <w:tcPr>
            <w:tcW w:type="dxa" w:w="1337"/>
          </w:tcPr>
          <w:p>
            <w:pPr>
              <w:spacing w:before="20" w:after="20"/>
            </w:pPr>
            <w:r>
              <w:rPr>
                <w:sz w:val="18"/>
              </w:rPr>
              <w:t>1 week</w:t>
            </w:r>
          </w:p>
        </w:tc>
        <w:tc>
          <w:tcPr>
            <w:tcW w:type="dxa" w:w="1337"/>
          </w:tcPr>
          <w:p>
            <w:pPr>
              <w:spacing w:before="20" w:after="20"/>
            </w:pPr>
            <w:r>
              <w:rPr>
                <w:sz w:val="18"/>
              </w:rPr>
              <w:t>M-03</w:t>
            </w:r>
          </w:p>
        </w:tc>
        <w:tc>
          <w:tcPr>
            <w:tcW w:type="dxa" w:w="1337"/>
          </w:tcPr>
          <w:p>
            <w:pPr>
              <w:spacing w:before="20" w:after="20"/>
            </w:pPr>
            <w:r>
              <w:rPr>
                <w:sz w:val="18"/>
              </w:rPr>
              <w:t>No</w:t>
            </w:r>
          </w:p>
        </w:tc>
      </w:tr>
      <w:tr>
        <w:tc>
          <w:tcPr>
            <w:tcW w:type="dxa" w:w="1337"/>
          </w:tcPr>
          <w:p>
            <w:pPr>
              <w:spacing w:before="20" w:after="20"/>
            </w:pPr>
            <w:r>
              <w:rPr>
                <w:sz w:val="18"/>
              </w:rPr>
              <w:t>M-05</w:t>
            </w:r>
          </w:p>
        </w:tc>
        <w:tc>
          <w:tcPr>
            <w:tcW w:type="dxa" w:w="1337"/>
          </w:tcPr>
          <w:p>
            <w:pPr>
              <w:spacing w:before="20" w:after="20"/>
            </w:pPr>
            <w:r>
              <w:rPr>
                <w:sz w:val="18"/>
              </w:rPr>
              <w:t>Legacy Data Assessment Complete</w:t>
            </w:r>
          </w:p>
        </w:tc>
        <w:tc>
          <w:tcPr>
            <w:tcW w:type="dxa" w:w="1337"/>
          </w:tcPr>
          <w:p>
            <w:pPr>
              <w:spacing w:before="20" w:after="20"/>
            </w:pPr>
            <w:r>
              <w:rPr>
                <w:sz w:val="18"/>
              </w:rPr>
              <w:t>Week 5</w:t>
            </w:r>
          </w:p>
        </w:tc>
        <w:tc>
          <w:tcPr>
            <w:tcW w:type="dxa" w:w="1337"/>
          </w:tcPr>
          <w:p>
            <w:pPr>
              <w:spacing w:before="20" w:after="20"/>
            </w:pPr>
            <w:r>
              <w:rPr>
                <w:sz w:val="18"/>
              </w:rPr>
              <w:t>Week 5</w:t>
            </w:r>
          </w:p>
        </w:tc>
        <w:tc>
          <w:tcPr>
            <w:tcW w:type="dxa" w:w="1337"/>
          </w:tcPr>
          <w:p>
            <w:pPr>
              <w:spacing w:before="20" w:after="20"/>
            </w:pPr>
            <w:r>
              <w:rPr>
                <w:sz w:val="18"/>
              </w:rPr>
              <w:t>1 week</w:t>
            </w:r>
          </w:p>
        </w:tc>
        <w:tc>
          <w:tcPr>
            <w:tcW w:type="dxa" w:w="1337"/>
          </w:tcPr>
          <w:p>
            <w:pPr>
              <w:spacing w:before="20" w:after="20"/>
            </w:pPr>
            <w:r>
              <w:rPr>
                <w:sz w:val="18"/>
              </w:rPr>
              <w:t>M-02</w:t>
            </w:r>
          </w:p>
        </w:tc>
        <w:tc>
          <w:tcPr>
            <w:tcW w:type="dxa" w:w="1337"/>
          </w:tcPr>
          <w:p>
            <w:pPr>
              <w:spacing w:before="20" w:after="20"/>
            </w:pPr>
            <w:r>
              <w:rPr>
                <w:sz w:val="18"/>
              </w:rPr>
              <w:t>No</w:t>
            </w:r>
          </w:p>
        </w:tc>
      </w:tr>
      <w:tr>
        <w:tc>
          <w:tcPr>
            <w:tcW w:type="dxa" w:w="1337"/>
          </w:tcPr>
          <w:p>
            <w:pPr>
              <w:spacing w:before="20" w:after="20"/>
            </w:pPr>
            <w:r>
              <w:rPr>
                <w:sz w:val="18"/>
              </w:rPr>
              <w:t>M-06</w:t>
            </w:r>
          </w:p>
        </w:tc>
        <w:tc>
          <w:tcPr>
            <w:tcW w:type="dxa" w:w="1337"/>
          </w:tcPr>
          <w:p>
            <w:pPr>
              <w:spacing w:before="20" w:after="20"/>
            </w:pPr>
            <w:r>
              <w:rPr>
                <w:sz w:val="18"/>
              </w:rPr>
              <w:t>Field Mapping Document Approved</w:t>
            </w:r>
          </w:p>
        </w:tc>
        <w:tc>
          <w:tcPr>
            <w:tcW w:type="dxa" w:w="1337"/>
          </w:tcPr>
          <w:p>
            <w:pPr>
              <w:spacing w:before="20" w:after="20"/>
            </w:pPr>
            <w:r>
              <w:rPr>
                <w:sz w:val="18"/>
              </w:rPr>
              <w:t>Week 5</w:t>
            </w:r>
          </w:p>
        </w:tc>
        <w:tc>
          <w:tcPr>
            <w:tcW w:type="dxa" w:w="1337"/>
          </w:tcPr>
          <w:p>
            <w:pPr>
              <w:spacing w:before="20" w:after="20"/>
            </w:pPr>
            <w:r>
              <w:rPr>
                <w:sz w:val="18"/>
              </w:rPr>
              <w:t>Week 5</w:t>
            </w:r>
          </w:p>
        </w:tc>
        <w:tc>
          <w:tcPr>
            <w:tcW w:type="dxa" w:w="1337"/>
          </w:tcPr>
          <w:p>
            <w:pPr>
              <w:spacing w:before="20" w:after="20"/>
            </w:pPr>
            <w:r>
              <w:rPr>
                <w:sz w:val="18"/>
              </w:rPr>
              <w:t>1 week</w:t>
            </w:r>
          </w:p>
        </w:tc>
        <w:tc>
          <w:tcPr>
            <w:tcW w:type="dxa" w:w="1337"/>
          </w:tcPr>
          <w:p>
            <w:pPr>
              <w:spacing w:before="20" w:after="20"/>
            </w:pPr>
            <w:r>
              <w:rPr>
                <w:sz w:val="18"/>
              </w:rPr>
              <w:t>M-05</w:t>
            </w:r>
          </w:p>
        </w:tc>
        <w:tc>
          <w:tcPr>
            <w:tcW w:type="dxa" w:w="1337"/>
          </w:tcPr>
          <w:p>
            <w:pPr>
              <w:spacing w:before="20" w:after="20"/>
            </w:pPr>
            <w:r>
              <w:rPr>
                <w:sz w:val="18"/>
              </w:rPr>
              <w:t>Yes</w:t>
            </w:r>
          </w:p>
        </w:tc>
      </w:tr>
      <w:tr>
        <w:tc>
          <w:tcPr>
            <w:tcW w:type="dxa" w:w="1337"/>
          </w:tcPr>
          <w:p>
            <w:pPr>
              <w:spacing w:before="20" w:after="20"/>
            </w:pPr>
            <w:r>
              <w:rPr>
                <w:sz w:val="18"/>
              </w:rPr>
              <w:t>M-07</w:t>
            </w:r>
          </w:p>
        </w:tc>
        <w:tc>
          <w:tcPr>
            <w:tcW w:type="dxa" w:w="1337"/>
          </w:tcPr>
          <w:p>
            <w:pPr>
              <w:spacing w:before="20" w:after="20"/>
            </w:pPr>
            <w:r>
              <w:rPr>
                <w:sz w:val="18"/>
              </w:rPr>
              <w:t>Test Migration Successful</w:t>
            </w:r>
          </w:p>
        </w:tc>
        <w:tc>
          <w:tcPr>
            <w:tcW w:type="dxa" w:w="1337"/>
          </w:tcPr>
          <w:p>
            <w:pPr>
              <w:spacing w:before="20" w:after="20"/>
            </w:pPr>
            <w:r>
              <w:rPr>
                <w:sz w:val="18"/>
              </w:rPr>
              <w:t>Week 6</w:t>
            </w:r>
          </w:p>
        </w:tc>
        <w:tc>
          <w:tcPr>
            <w:tcW w:type="dxa" w:w="1337"/>
          </w:tcPr>
          <w:p>
            <w:pPr>
              <w:spacing w:before="20" w:after="20"/>
            </w:pPr>
            <w:r>
              <w:rPr>
                <w:sz w:val="18"/>
              </w:rPr>
              <w:t>Week 7</w:t>
            </w:r>
          </w:p>
        </w:tc>
        <w:tc>
          <w:tcPr>
            <w:tcW w:type="dxa" w:w="1337"/>
          </w:tcPr>
          <w:p>
            <w:pPr>
              <w:spacing w:before="20" w:after="20"/>
            </w:pPr>
            <w:r>
              <w:rPr>
                <w:sz w:val="18"/>
              </w:rPr>
              <w:t>2 weeks</w:t>
            </w:r>
          </w:p>
        </w:tc>
        <w:tc>
          <w:tcPr>
            <w:tcW w:type="dxa" w:w="1337"/>
          </w:tcPr>
          <w:p>
            <w:pPr>
              <w:spacing w:before="20" w:after="20"/>
            </w:pPr>
            <w:r>
              <w:rPr>
                <w:sz w:val="18"/>
              </w:rPr>
              <w:t>M-06</w:t>
            </w:r>
          </w:p>
        </w:tc>
        <w:tc>
          <w:tcPr>
            <w:tcW w:type="dxa" w:w="1337"/>
          </w:tcPr>
          <w:p>
            <w:pPr>
              <w:spacing w:before="20" w:after="20"/>
            </w:pPr>
            <w:r>
              <w:rPr>
                <w:sz w:val="18"/>
              </w:rPr>
              <w:t>Yes</w:t>
            </w:r>
          </w:p>
        </w:tc>
      </w:tr>
      <w:tr>
        <w:tc>
          <w:tcPr>
            <w:tcW w:type="dxa" w:w="1337"/>
          </w:tcPr>
          <w:p>
            <w:pPr>
              <w:spacing w:before="20" w:after="20"/>
            </w:pPr>
            <w:r>
              <w:rPr>
                <w:sz w:val="18"/>
              </w:rPr>
              <w:t>M-08</w:t>
            </w:r>
          </w:p>
        </w:tc>
        <w:tc>
          <w:tcPr>
            <w:tcW w:type="dxa" w:w="1337"/>
          </w:tcPr>
          <w:p>
            <w:pPr>
              <w:spacing w:before="20" w:after="20"/>
            </w:pPr>
            <w:r>
              <w:rPr>
                <w:sz w:val="18"/>
              </w:rPr>
              <w:t>Production Data Migration Complete</w:t>
            </w:r>
          </w:p>
        </w:tc>
        <w:tc>
          <w:tcPr>
            <w:tcW w:type="dxa" w:w="1337"/>
          </w:tcPr>
          <w:p>
            <w:pPr>
              <w:spacing w:before="20" w:after="20"/>
            </w:pPr>
            <w:r>
              <w:rPr>
                <w:sz w:val="18"/>
              </w:rPr>
              <w:t>Week 8</w:t>
            </w:r>
          </w:p>
        </w:tc>
        <w:tc>
          <w:tcPr>
            <w:tcW w:type="dxa" w:w="1337"/>
          </w:tcPr>
          <w:p>
            <w:pPr>
              <w:spacing w:before="20" w:after="20"/>
            </w:pPr>
            <w:r>
              <w:rPr>
                <w:sz w:val="18"/>
              </w:rPr>
              <w:t>Week 8</w:t>
            </w:r>
          </w:p>
        </w:tc>
        <w:tc>
          <w:tcPr>
            <w:tcW w:type="dxa" w:w="1337"/>
          </w:tcPr>
          <w:p>
            <w:pPr>
              <w:spacing w:before="20" w:after="20"/>
            </w:pPr>
            <w:r>
              <w:rPr>
                <w:sz w:val="18"/>
              </w:rPr>
              <w:t>1 week</w:t>
            </w:r>
          </w:p>
        </w:tc>
        <w:tc>
          <w:tcPr>
            <w:tcW w:type="dxa" w:w="1337"/>
          </w:tcPr>
          <w:p>
            <w:pPr>
              <w:spacing w:before="20" w:after="20"/>
            </w:pPr>
            <w:r>
              <w:rPr>
                <w:sz w:val="18"/>
              </w:rPr>
              <w:t>M-07</w:t>
            </w:r>
          </w:p>
        </w:tc>
        <w:tc>
          <w:tcPr>
            <w:tcW w:type="dxa" w:w="1337"/>
          </w:tcPr>
          <w:p>
            <w:pPr>
              <w:spacing w:before="20" w:after="20"/>
            </w:pPr>
            <w:r>
              <w:rPr>
                <w:sz w:val="18"/>
              </w:rPr>
              <w:t>Yes</w:t>
            </w:r>
          </w:p>
        </w:tc>
      </w:tr>
      <w:tr>
        <w:tc>
          <w:tcPr>
            <w:tcW w:type="dxa" w:w="1337"/>
          </w:tcPr>
          <w:p>
            <w:pPr>
              <w:spacing w:before="20" w:after="20"/>
            </w:pPr>
            <w:r>
              <w:rPr>
                <w:sz w:val="18"/>
              </w:rPr>
              <w:t>M-09</w:t>
            </w:r>
          </w:p>
        </w:tc>
        <w:tc>
          <w:tcPr>
            <w:tcW w:type="dxa" w:w="1337"/>
          </w:tcPr>
          <w:p>
            <w:pPr>
              <w:spacing w:before="20" w:after="20"/>
            </w:pPr>
            <w:r>
              <w:rPr>
                <w:sz w:val="18"/>
              </w:rPr>
              <w:t>Integration Testing Complete</w:t>
            </w:r>
          </w:p>
        </w:tc>
        <w:tc>
          <w:tcPr>
            <w:tcW w:type="dxa" w:w="1337"/>
          </w:tcPr>
          <w:p>
            <w:pPr>
              <w:spacing w:before="20" w:after="20"/>
            </w:pPr>
            <w:r>
              <w:rPr>
                <w:sz w:val="18"/>
              </w:rPr>
              <w:t>Week 9</w:t>
            </w:r>
          </w:p>
        </w:tc>
        <w:tc>
          <w:tcPr>
            <w:tcW w:type="dxa" w:w="1337"/>
          </w:tcPr>
          <w:p>
            <w:pPr>
              <w:spacing w:before="20" w:after="20"/>
            </w:pPr>
            <w:r>
              <w:rPr>
                <w:sz w:val="18"/>
              </w:rPr>
              <w:t>Week 9</w:t>
            </w:r>
          </w:p>
        </w:tc>
        <w:tc>
          <w:tcPr>
            <w:tcW w:type="dxa" w:w="1337"/>
          </w:tcPr>
          <w:p>
            <w:pPr>
              <w:spacing w:before="20" w:after="20"/>
            </w:pPr>
            <w:r>
              <w:rPr>
                <w:sz w:val="18"/>
              </w:rPr>
              <w:t>1 week</w:t>
            </w:r>
          </w:p>
        </w:tc>
        <w:tc>
          <w:tcPr>
            <w:tcW w:type="dxa" w:w="1337"/>
          </w:tcPr>
          <w:p>
            <w:pPr>
              <w:spacing w:before="20" w:after="20"/>
            </w:pPr>
            <w:r>
              <w:rPr>
                <w:sz w:val="18"/>
              </w:rPr>
              <w:t>M-08</w:t>
            </w:r>
          </w:p>
        </w:tc>
        <w:tc>
          <w:tcPr>
            <w:tcW w:type="dxa" w:w="1337"/>
          </w:tcPr>
          <w:p>
            <w:pPr>
              <w:spacing w:before="20" w:after="20"/>
            </w:pPr>
            <w:r>
              <w:rPr>
                <w:sz w:val="18"/>
              </w:rPr>
              <w:t>No</w:t>
            </w:r>
          </w:p>
        </w:tc>
      </w:tr>
      <w:tr>
        <w:tc>
          <w:tcPr>
            <w:tcW w:type="dxa" w:w="1337"/>
          </w:tcPr>
          <w:p>
            <w:pPr>
              <w:spacing w:before="20" w:after="20"/>
            </w:pPr>
            <w:r>
              <w:rPr>
                <w:sz w:val="18"/>
              </w:rPr>
              <w:t>M-10</w:t>
            </w:r>
          </w:p>
        </w:tc>
        <w:tc>
          <w:tcPr>
            <w:tcW w:type="dxa" w:w="1337"/>
          </w:tcPr>
          <w:p>
            <w:pPr>
              <w:spacing w:before="20" w:after="20"/>
            </w:pPr>
            <w:r>
              <w:rPr>
                <w:sz w:val="18"/>
              </w:rPr>
              <w:t>Security Penetration Test Complete</w:t>
            </w:r>
          </w:p>
        </w:tc>
        <w:tc>
          <w:tcPr>
            <w:tcW w:type="dxa" w:w="1337"/>
          </w:tcPr>
          <w:p>
            <w:pPr>
              <w:spacing w:before="20" w:after="20"/>
            </w:pPr>
            <w:r>
              <w:rPr>
                <w:sz w:val="18"/>
              </w:rPr>
              <w:t>Week 10</w:t>
            </w:r>
          </w:p>
        </w:tc>
        <w:tc>
          <w:tcPr>
            <w:tcW w:type="dxa" w:w="1337"/>
          </w:tcPr>
          <w:p>
            <w:pPr>
              <w:spacing w:before="20" w:after="20"/>
            </w:pPr>
            <w:r>
              <w:rPr>
                <w:sz w:val="18"/>
              </w:rPr>
              <w:t>Week 11</w:t>
            </w:r>
          </w:p>
        </w:tc>
        <w:tc>
          <w:tcPr>
            <w:tcW w:type="dxa" w:w="1337"/>
          </w:tcPr>
          <w:p>
            <w:pPr>
              <w:spacing w:before="20" w:after="20"/>
            </w:pPr>
            <w:r>
              <w:rPr>
                <w:sz w:val="18"/>
              </w:rPr>
              <w:t>2 weeks</w:t>
            </w:r>
          </w:p>
        </w:tc>
        <w:tc>
          <w:tcPr>
            <w:tcW w:type="dxa" w:w="1337"/>
          </w:tcPr>
          <w:p>
            <w:pPr>
              <w:spacing w:before="20" w:after="20"/>
            </w:pPr>
            <w:r>
              <w:rPr>
                <w:sz w:val="18"/>
              </w:rPr>
              <w:t>M-09</w:t>
            </w:r>
          </w:p>
        </w:tc>
        <w:tc>
          <w:tcPr>
            <w:tcW w:type="dxa" w:w="1337"/>
          </w:tcPr>
          <w:p>
            <w:pPr>
              <w:spacing w:before="20" w:after="20"/>
            </w:pPr>
            <w:r>
              <w:rPr>
                <w:sz w:val="18"/>
              </w:rPr>
              <w:t>Yes</w:t>
            </w:r>
          </w:p>
        </w:tc>
      </w:tr>
      <w:tr>
        <w:tc>
          <w:tcPr>
            <w:tcW w:type="dxa" w:w="1337"/>
          </w:tcPr>
          <w:p>
            <w:pPr>
              <w:spacing w:before="20" w:after="20"/>
            </w:pPr>
            <w:r>
              <w:rPr>
                <w:sz w:val="18"/>
              </w:rPr>
              <w:t>M-11</w:t>
            </w:r>
          </w:p>
        </w:tc>
        <w:tc>
          <w:tcPr>
            <w:tcW w:type="dxa" w:w="1337"/>
          </w:tcPr>
          <w:p>
            <w:pPr>
              <w:spacing w:before="20" w:after="20"/>
            </w:pPr>
            <w:r>
              <w:rPr>
                <w:sz w:val="18"/>
              </w:rPr>
              <w:t>Performance Testing Complete</w:t>
            </w:r>
          </w:p>
        </w:tc>
        <w:tc>
          <w:tcPr>
            <w:tcW w:type="dxa" w:w="1337"/>
          </w:tcPr>
          <w:p>
            <w:pPr>
              <w:spacing w:before="20" w:after="20"/>
            </w:pPr>
            <w:r>
              <w:rPr>
                <w:sz w:val="18"/>
              </w:rPr>
              <w:t>Week 11</w:t>
            </w:r>
          </w:p>
        </w:tc>
        <w:tc>
          <w:tcPr>
            <w:tcW w:type="dxa" w:w="1337"/>
          </w:tcPr>
          <w:p>
            <w:pPr>
              <w:spacing w:before="20" w:after="20"/>
            </w:pPr>
            <w:r>
              <w:rPr>
                <w:sz w:val="18"/>
              </w:rPr>
              <w:t>Week 11</w:t>
            </w:r>
          </w:p>
        </w:tc>
        <w:tc>
          <w:tcPr>
            <w:tcW w:type="dxa" w:w="1337"/>
          </w:tcPr>
          <w:p>
            <w:pPr>
              <w:spacing w:before="20" w:after="20"/>
            </w:pPr>
            <w:r>
              <w:rPr>
                <w:sz w:val="18"/>
              </w:rPr>
              <w:t>1 week</w:t>
            </w:r>
          </w:p>
        </w:tc>
        <w:tc>
          <w:tcPr>
            <w:tcW w:type="dxa" w:w="1337"/>
          </w:tcPr>
          <w:p>
            <w:pPr>
              <w:spacing w:before="20" w:after="20"/>
            </w:pPr>
            <w:r>
              <w:rPr>
                <w:sz w:val="18"/>
              </w:rPr>
              <w:t>M-09</w:t>
            </w:r>
          </w:p>
        </w:tc>
        <w:tc>
          <w:tcPr>
            <w:tcW w:type="dxa" w:w="1337"/>
          </w:tcPr>
          <w:p>
            <w:pPr>
              <w:spacing w:before="20" w:after="20"/>
            </w:pPr>
            <w:r>
              <w:rPr>
                <w:sz w:val="18"/>
              </w:rPr>
              <w:t>No</w:t>
            </w:r>
          </w:p>
        </w:tc>
      </w:tr>
      <w:tr>
        <w:tc>
          <w:tcPr>
            <w:tcW w:type="dxa" w:w="1337"/>
          </w:tcPr>
          <w:p>
            <w:pPr>
              <w:spacing w:before="20" w:after="20"/>
            </w:pPr>
            <w:r>
              <w:rPr>
                <w:sz w:val="18"/>
              </w:rPr>
              <w:t>M-12</w:t>
            </w:r>
          </w:p>
        </w:tc>
        <w:tc>
          <w:tcPr>
            <w:tcW w:type="dxa" w:w="1337"/>
          </w:tcPr>
          <w:p>
            <w:pPr>
              <w:spacing w:before="20" w:after="20"/>
            </w:pPr>
            <w:r>
              <w:rPr>
                <w:sz w:val="18"/>
              </w:rPr>
              <w:t>UAT Sign-Off Obtained</w:t>
            </w:r>
          </w:p>
        </w:tc>
        <w:tc>
          <w:tcPr>
            <w:tcW w:type="dxa" w:w="1337"/>
          </w:tcPr>
          <w:p>
            <w:pPr>
              <w:spacing w:before="20" w:after="20"/>
            </w:pPr>
            <w:r>
              <w:rPr>
                <w:sz w:val="18"/>
              </w:rPr>
              <w:t>Week 11</w:t>
            </w:r>
          </w:p>
        </w:tc>
        <w:tc>
          <w:tcPr>
            <w:tcW w:type="dxa" w:w="1337"/>
          </w:tcPr>
          <w:p>
            <w:pPr>
              <w:spacing w:before="20" w:after="20"/>
            </w:pPr>
            <w:r>
              <w:rPr>
                <w:sz w:val="18"/>
              </w:rPr>
              <w:t>Week 12</w:t>
            </w:r>
          </w:p>
        </w:tc>
        <w:tc>
          <w:tcPr>
            <w:tcW w:type="dxa" w:w="1337"/>
          </w:tcPr>
          <w:p>
            <w:pPr>
              <w:spacing w:before="20" w:after="20"/>
            </w:pPr>
            <w:r>
              <w:rPr>
                <w:sz w:val="18"/>
              </w:rPr>
              <w:t>2 weeks</w:t>
            </w:r>
          </w:p>
        </w:tc>
        <w:tc>
          <w:tcPr>
            <w:tcW w:type="dxa" w:w="1337"/>
          </w:tcPr>
          <w:p>
            <w:pPr>
              <w:spacing w:before="20" w:after="20"/>
            </w:pPr>
            <w:r>
              <w:rPr>
                <w:sz w:val="18"/>
              </w:rPr>
              <w:t>M-09, M-10</w:t>
            </w:r>
          </w:p>
        </w:tc>
        <w:tc>
          <w:tcPr>
            <w:tcW w:type="dxa" w:w="1337"/>
          </w:tcPr>
          <w:p>
            <w:pPr>
              <w:spacing w:before="20" w:after="20"/>
            </w:pPr>
            <w:r>
              <w:rPr>
                <w:sz w:val="18"/>
              </w:rPr>
              <w:t>Yes</w:t>
            </w:r>
          </w:p>
        </w:tc>
      </w:tr>
      <w:tr>
        <w:tc>
          <w:tcPr>
            <w:tcW w:type="dxa" w:w="1337"/>
          </w:tcPr>
          <w:p>
            <w:pPr>
              <w:spacing w:before="20" w:after="20"/>
            </w:pPr>
            <w:r>
              <w:rPr>
                <w:sz w:val="18"/>
              </w:rPr>
              <w:t>M-13</w:t>
            </w:r>
          </w:p>
        </w:tc>
        <w:tc>
          <w:tcPr>
            <w:tcW w:type="dxa" w:w="1337"/>
          </w:tcPr>
          <w:p>
            <w:pPr>
              <w:spacing w:before="20" w:after="20"/>
            </w:pPr>
            <w:r>
              <w:rPr>
                <w:sz w:val="18"/>
              </w:rPr>
              <w:t>508 Accessibility Validation Complete</w:t>
            </w:r>
          </w:p>
        </w:tc>
        <w:tc>
          <w:tcPr>
            <w:tcW w:type="dxa" w:w="1337"/>
          </w:tcPr>
          <w:p>
            <w:pPr>
              <w:spacing w:before="20" w:after="20"/>
            </w:pPr>
            <w:r>
              <w:rPr>
                <w:sz w:val="18"/>
              </w:rPr>
              <w:t>Week 12</w:t>
            </w:r>
          </w:p>
        </w:tc>
        <w:tc>
          <w:tcPr>
            <w:tcW w:type="dxa" w:w="1337"/>
          </w:tcPr>
          <w:p>
            <w:pPr>
              <w:spacing w:before="20" w:after="20"/>
            </w:pPr>
            <w:r>
              <w:rPr>
                <w:sz w:val="18"/>
              </w:rPr>
              <w:t>Week 12</w:t>
            </w:r>
          </w:p>
        </w:tc>
        <w:tc>
          <w:tcPr>
            <w:tcW w:type="dxa" w:w="1337"/>
          </w:tcPr>
          <w:p>
            <w:pPr>
              <w:spacing w:before="20" w:after="20"/>
            </w:pPr>
            <w:r>
              <w:rPr>
                <w:sz w:val="18"/>
              </w:rPr>
              <w:t>1 week</w:t>
            </w:r>
          </w:p>
        </w:tc>
        <w:tc>
          <w:tcPr>
            <w:tcW w:type="dxa" w:w="1337"/>
          </w:tcPr>
          <w:p>
            <w:pPr>
              <w:spacing w:before="20" w:after="20"/>
            </w:pPr>
            <w:r>
              <w:rPr>
                <w:sz w:val="18"/>
              </w:rPr>
              <w:t>M-09</w:t>
            </w:r>
          </w:p>
        </w:tc>
        <w:tc>
          <w:tcPr>
            <w:tcW w:type="dxa" w:w="1337"/>
          </w:tcPr>
          <w:p>
            <w:pPr>
              <w:spacing w:before="20" w:after="20"/>
            </w:pPr>
            <w:r>
              <w:rPr>
                <w:sz w:val="18"/>
              </w:rPr>
              <w:t>No</w:t>
            </w:r>
          </w:p>
        </w:tc>
      </w:tr>
      <w:tr>
        <w:tc>
          <w:tcPr>
            <w:tcW w:type="dxa" w:w="1337"/>
          </w:tcPr>
          <w:p>
            <w:pPr>
              <w:spacing w:before="20" w:after="20"/>
            </w:pPr>
            <w:r>
              <w:rPr>
                <w:sz w:val="18"/>
              </w:rPr>
              <w:t>M-14</w:t>
            </w:r>
          </w:p>
        </w:tc>
        <w:tc>
          <w:tcPr>
            <w:tcW w:type="dxa" w:w="1337"/>
          </w:tcPr>
          <w:p>
            <w:pPr>
              <w:spacing w:before="20" w:after="20"/>
            </w:pPr>
            <w:r>
              <w:rPr>
                <w:sz w:val="18"/>
              </w:rPr>
              <w:t>ATO Decision Received</w:t>
            </w:r>
          </w:p>
        </w:tc>
        <w:tc>
          <w:tcPr>
            <w:tcW w:type="dxa" w:w="1337"/>
          </w:tcPr>
          <w:p>
            <w:pPr>
              <w:spacing w:before="20" w:after="20"/>
            </w:pPr>
            <w:r>
              <w:rPr>
                <w:sz w:val="18"/>
              </w:rPr>
              <w:t>Week 12</w:t>
            </w:r>
          </w:p>
        </w:tc>
        <w:tc>
          <w:tcPr>
            <w:tcW w:type="dxa" w:w="1337"/>
          </w:tcPr>
          <w:p>
            <w:pPr>
              <w:spacing w:before="20" w:after="20"/>
            </w:pPr>
            <w:r>
              <w:rPr>
                <w:sz w:val="18"/>
              </w:rPr>
              <w:t>Week 12</w:t>
            </w:r>
          </w:p>
        </w:tc>
        <w:tc>
          <w:tcPr>
            <w:tcW w:type="dxa" w:w="1337"/>
          </w:tcPr>
          <w:p>
            <w:pPr>
              <w:spacing w:before="20" w:after="20"/>
            </w:pPr>
            <w:r>
              <w:rPr>
                <w:sz w:val="18"/>
              </w:rPr>
              <w:t>--</w:t>
            </w:r>
          </w:p>
        </w:tc>
        <w:tc>
          <w:tcPr>
            <w:tcW w:type="dxa" w:w="1337"/>
          </w:tcPr>
          <w:p>
            <w:pPr>
              <w:spacing w:before="20" w:after="20"/>
            </w:pPr>
            <w:r>
              <w:rPr>
                <w:sz w:val="18"/>
              </w:rPr>
              <w:t>M-10</w:t>
            </w:r>
          </w:p>
        </w:tc>
        <w:tc>
          <w:tcPr>
            <w:tcW w:type="dxa" w:w="1337"/>
          </w:tcPr>
          <w:p>
            <w:pPr>
              <w:spacing w:before="20" w:after="20"/>
            </w:pPr>
            <w:r>
              <w:rPr>
                <w:sz w:val="18"/>
              </w:rPr>
              <w:t>Yes</w:t>
            </w:r>
          </w:p>
        </w:tc>
      </w:tr>
      <w:tr>
        <w:tc>
          <w:tcPr>
            <w:tcW w:type="dxa" w:w="1337"/>
          </w:tcPr>
          <w:p>
            <w:pPr>
              <w:spacing w:before="20" w:after="20"/>
            </w:pPr>
            <w:r>
              <w:rPr>
                <w:sz w:val="18"/>
              </w:rPr>
              <w:t>M-15</w:t>
            </w:r>
          </w:p>
        </w:tc>
        <w:tc>
          <w:tcPr>
            <w:tcW w:type="dxa" w:w="1337"/>
          </w:tcPr>
          <w:p>
            <w:pPr>
              <w:spacing w:before="20" w:after="20"/>
            </w:pPr>
            <w:r>
              <w:rPr>
                <w:sz w:val="18"/>
              </w:rPr>
              <w:t>Training Complete (All Roles)</w:t>
            </w:r>
          </w:p>
        </w:tc>
        <w:tc>
          <w:tcPr>
            <w:tcW w:type="dxa" w:w="1337"/>
          </w:tcPr>
          <w:p>
            <w:pPr>
              <w:spacing w:before="20" w:after="20"/>
            </w:pPr>
            <w:r>
              <w:rPr>
                <w:sz w:val="18"/>
              </w:rPr>
              <w:t>Week 13</w:t>
            </w:r>
          </w:p>
        </w:tc>
        <w:tc>
          <w:tcPr>
            <w:tcW w:type="dxa" w:w="1337"/>
          </w:tcPr>
          <w:p>
            <w:pPr>
              <w:spacing w:before="20" w:after="20"/>
            </w:pPr>
            <w:r>
              <w:rPr>
                <w:sz w:val="18"/>
              </w:rPr>
              <w:t>Week 14</w:t>
            </w:r>
          </w:p>
        </w:tc>
        <w:tc>
          <w:tcPr>
            <w:tcW w:type="dxa" w:w="1337"/>
          </w:tcPr>
          <w:p>
            <w:pPr>
              <w:spacing w:before="20" w:after="20"/>
            </w:pPr>
            <w:r>
              <w:rPr>
                <w:sz w:val="18"/>
              </w:rPr>
              <w:t>2 weeks</w:t>
            </w:r>
          </w:p>
        </w:tc>
        <w:tc>
          <w:tcPr>
            <w:tcW w:type="dxa" w:w="1337"/>
          </w:tcPr>
          <w:p>
            <w:pPr>
              <w:spacing w:before="20" w:after="20"/>
            </w:pPr>
            <w:r>
              <w:rPr>
                <w:sz w:val="18"/>
              </w:rPr>
              <w:t>M-12</w:t>
            </w:r>
          </w:p>
        </w:tc>
        <w:tc>
          <w:tcPr>
            <w:tcW w:type="dxa" w:w="1337"/>
          </w:tcPr>
          <w:p>
            <w:pPr>
              <w:spacing w:before="20" w:after="20"/>
            </w:pPr>
            <w:r>
              <w:rPr>
                <w:sz w:val="18"/>
              </w:rPr>
              <w:t>No</w:t>
            </w:r>
          </w:p>
        </w:tc>
      </w:tr>
      <w:tr>
        <w:tc>
          <w:tcPr>
            <w:tcW w:type="dxa" w:w="1337"/>
          </w:tcPr>
          <w:p>
            <w:pPr>
              <w:spacing w:before="20" w:after="20"/>
            </w:pPr>
            <w:r>
              <w:rPr>
                <w:sz w:val="18"/>
              </w:rPr>
              <w:t>M-16</w:t>
            </w:r>
          </w:p>
        </w:tc>
        <w:tc>
          <w:tcPr>
            <w:tcW w:type="dxa" w:w="1337"/>
          </w:tcPr>
          <w:p>
            <w:pPr>
              <w:spacing w:before="20" w:after="20"/>
            </w:pPr>
            <w:r>
              <w:rPr>
                <w:sz w:val="18"/>
              </w:rPr>
              <w:t>Parallel Operations Complete</w:t>
            </w:r>
          </w:p>
        </w:tc>
        <w:tc>
          <w:tcPr>
            <w:tcW w:type="dxa" w:w="1337"/>
          </w:tcPr>
          <w:p>
            <w:pPr>
              <w:spacing w:before="20" w:after="20"/>
            </w:pPr>
            <w:r>
              <w:rPr>
                <w:sz w:val="18"/>
              </w:rPr>
              <w:t>Week 14</w:t>
            </w:r>
          </w:p>
        </w:tc>
        <w:tc>
          <w:tcPr>
            <w:tcW w:type="dxa" w:w="1337"/>
          </w:tcPr>
          <w:p>
            <w:pPr>
              <w:spacing w:before="20" w:after="20"/>
            </w:pPr>
            <w:r>
              <w:rPr>
                <w:sz w:val="18"/>
              </w:rPr>
              <w:t>Week 15</w:t>
            </w:r>
          </w:p>
        </w:tc>
        <w:tc>
          <w:tcPr>
            <w:tcW w:type="dxa" w:w="1337"/>
          </w:tcPr>
          <w:p>
            <w:pPr>
              <w:spacing w:before="20" w:after="20"/>
            </w:pPr>
            <w:r>
              <w:rPr>
                <w:sz w:val="18"/>
              </w:rPr>
              <w:t>2 weeks</w:t>
            </w:r>
          </w:p>
        </w:tc>
        <w:tc>
          <w:tcPr>
            <w:tcW w:type="dxa" w:w="1337"/>
          </w:tcPr>
          <w:p>
            <w:pPr>
              <w:spacing w:before="20" w:after="20"/>
            </w:pPr>
            <w:r>
              <w:rPr>
                <w:sz w:val="18"/>
              </w:rPr>
              <w:t>M-15</w:t>
            </w:r>
          </w:p>
        </w:tc>
        <w:tc>
          <w:tcPr>
            <w:tcW w:type="dxa" w:w="1337"/>
          </w:tcPr>
          <w:p>
            <w:pPr>
              <w:spacing w:before="20" w:after="20"/>
            </w:pPr>
            <w:r>
              <w:rPr>
                <w:sz w:val="18"/>
              </w:rPr>
              <w:t>Yes</w:t>
            </w:r>
          </w:p>
        </w:tc>
      </w:tr>
      <w:tr>
        <w:tc>
          <w:tcPr>
            <w:tcW w:type="dxa" w:w="1337"/>
          </w:tcPr>
          <w:p>
            <w:pPr>
              <w:spacing w:before="20" w:after="20"/>
            </w:pPr>
            <w:r>
              <w:rPr>
                <w:sz w:val="18"/>
              </w:rPr>
              <w:t>M-17</w:t>
            </w:r>
          </w:p>
        </w:tc>
        <w:tc>
          <w:tcPr>
            <w:tcW w:type="dxa" w:w="1337"/>
          </w:tcPr>
          <w:p>
            <w:pPr>
              <w:spacing w:before="20" w:after="20"/>
            </w:pPr>
            <w:r>
              <w:rPr>
                <w:sz w:val="18"/>
              </w:rPr>
              <w:t>Go-Live Cutover</w:t>
            </w:r>
          </w:p>
        </w:tc>
        <w:tc>
          <w:tcPr>
            <w:tcW w:type="dxa" w:w="1337"/>
          </w:tcPr>
          <w:p>
            <w:pPr>
              <w:spacing w:before="20" w:after="20"/>
            </w:pPr>
            <w:r>
              <w:rPr>
                <w:sz w:val="18"/>
              </w:rPr>
              <w:t>Week 16</w:t>
            </w:r>
          </w:p>
        </w:tc>
        <w:tc>
          <w:tcPr>
            <w:tcW w:type="dxa" w:w="1337"/>
          </w:tcPr>
          <w:p>
            <w:pPr>
              <w:spacing w:before="20" w:after="20"/>
            </w:pPr>
            <w:r>
              <w:rPr>
                <w:sz w:val="18"/>
              </w:rPr>
              <w:t>Week 16</w:t>
            </w:r>
          </w:p>
        </w:tc>
        <w:tc>
          <w:tcPr>
            <w:tcW w:type="dxa" w:w="1337"/>
          </w:tcPr>
          <w:p>
            <w:pPr>
              <w:spacing w:before="20" w:after="20"/>
            </w:pPr>
            <w:r>
              <w:rPr>
                <w:sz w:val="18"/>
              </w:rPr>
              <w:t>1 week</w:t>
            </w:r>
          </w:p>
        </w:tc>
        <w:tc>
          <w:tcPr>
            <w:tcW w:type="dxa" w:w="1337"/>
          </w:tcPr>
          <w:p>
            <w:pPr>
              <w:spacing w:before="20" w:after="20"/>
            </w:pPr>
            <w:r>
              <w:rPr>
                <w:sz w:val="18"/>
              </w:rPr>
              <w:t>M-14, M-16</w:t>
            </w:r>
          </w:p>
        </w:tc>
        <w:tc>
          <w:tcPr>
            <w:tcW w:type="dxa" w:w="1337"/>
          </w:tcPr>
          <w:p>
            <w:pPr>
              <w:spacing w:before="20" w:after="20"/>
            </w:pPr>
            <w:r>
              <w:rPr>
                <w:sz w:val="18"/>
              </w:rPr>
              <w:t>Yes</w:t>
            </w:r>
          </w:p>
        </w:tc>
      </w:tr>
      <w:tr>
        <w:tc>
          <w:tcPr>
            <w:tcW w:type="dxa" w:w="1337"/>
          </w:tcPr>
          <w:p>
            <w:pPr>
              <w:spacing w:before="20" w:after="20"/>
            </w:pPr>
            <w:r>
              <w:rPr>
                <w:sz w:val="18"/>
              </w:rPr>
              <w:t>M-18</w:t>
            </w:r>
          </w:p>
        </w:tc>
        <w:tc>
          <w:tcPr>
            <w:tcW w:type="dxa" w:w="1337"/>
          </w:tcPr>
          <w:p>
            <w:pPr>
              <w:spacing w:before="20" w:after="20"/>
            </w:pPr>
            <w:r>
              <w:rPr>
                <w:sz w:val="18"/>
              </w:rPr>
              <w:t>Stabilization Complete</w:t>
            </w:r>
          </w:p>
        </w:tc>
        <w:tc>
          <w:tcPr>
            <w:tcW w:type="dxa" w:w="1337"/>
          </w:tcPr>
          <w:p>
            <w:pPr>
              <w:spacing w:before="20" w:after="20"/>
            </w:pPr>
            <w:r>
              <w:rPr>
                <w:sz w:val="18"/>
              </w:rPr>
              <w:t>Week 17</w:t>
            </w:r>
          </w:p>
        </w:tc>
        <w:tc>
          <w:tcPr>
            <w:tcW w:type="dxa" w:w="1337"/>
          </w:tcPr>
          <w:p>
            <w:pPr>
              <w:spacing w:before="20" w:after="20"/>
            </w:pPr>
            <w:r>
              <w:rPr>
                <w:sz w:val="18"/>
              </w:rPr>
              <w:t>Week 18</w:t>
            </w:r>
          </w:p>
        </w:tc>
        <w:tc>
          <w:tcPr>
            <w:tcW w:type="dxa" w:w="1337"/>
          </w:tcPr>
          <w:p>
            <w:pPr>
              <w:spacing w:before="20" w:after="20"/>
            </w:pPr>
            <w:r>
              <w:rPr>
                <w:sz w:val="18"/>
              </w:rPr>
              <w:t>2 weeks</w:t>
            </w:r>
          </w:p>
        </w:tc>
        <w:tc>
          <w:tcPr>
            <w:tcW w:type="dxa" w:w="1337"/>
          </w:tcPr>
          <w:p>
            <w:pPr>
              <w:spacing w:before="20" w:after="20"/>
            </w:pPr>
            <w:r>
              <w:rPr>
                <w:sz w:val="18"/>
              </w:rPr>
              <w:t>M-17</w:t>
            </w:r>
          </w:p>
        </w:tc>
        <w:tc>
          <w:tcPr>
            <w:tcW w:type="dxa" w:w="1337"/>
          </w:tcPr>
          <w:p>
            <w:pPr>
              <w:spacing w:before="20" w:after="20"/>
            </w:pPr>
            <w:r>
              <w:rPr>
                <w:sz w:val="18"/>
              </w:rPr>
              <w:t>No</w:t>
            </w:r>
          </w:p>
        </w:tc>
      </w:tr>
      <w:tr>
        <w:tc>
          <w:tcPr>
            <w:tcW w:type="dxa" w:w="1337"/>
          </w:tcPr>
          <w:p>
            <w:pPr>
              <w:spacing w:before="20" w:after="20"/>
            </w:pPr>
            <w:r>
              <w:rPr>
                <w:sz w:val="18"/>
              </w:rPr>
              <w:t>M-19</w:t>
            </w:r>
          </w:p>
        </w:tc>
        <w:tc>
          <w:tcPr>
            <w:tcW w:type="dxa" w:w="1337"/>
          </w:tcPr>
          <w:p>
            <w:pPr>
              <w:spacing w:before="20" w:after="20"/>
            </w:pPr>
            <w:r>
              <w:rPr>
                <w:sz w:val="18"/>
              </w:rPr>
              <w:t>Implementation Closeout Report Delivered</w:t>
            </w:r>
          </w:p>
        </w:tc>
        <w:tc>
          <w:tcPr>
            <w:tcW w:type="dxa" w:w="1337"/>
          </w:tcPr>
          <w:p>
            <w:pPr>
              <w:spacing w:before="20" w:after="20"/>
            </w:pPr>
            <w:r>
              <w:rPr>
                <w:sz w:val="18"/>
              </w:rPr>
              <w:t>Week 18</w:t>
            </w:r>
          </w:p>
        </w:tc>
        <w:tc>
          <w:tcPr>
            <w:tcW w:type="dxa" w:w="1337"/>
          </w:tcPr>
          <w:p>
            <w:pPr>
              <w:spacing w:before="20" w:after="20"/>
            </w:pPr>
            <w:r>
              <w:rPr>
                <w:sz w:val="18"/>
              </w:rPr>
              <w:t>Week 18</w:t>
            </w:r>
          </w:p>
        </w:tc>
        <w:tc>
          <w:tcPr>
            <w:tcW w:type="dxa" w:w="1337"/>
          </w:tcPr>
          <w:p>
            <w:pPr>
              <w:spacing w:before="20" w:after="20"/>
            </w:pPr>
            <w:r>
              <w:rPr>
                <w:sz w:val="18"/>
              </w:rPr>
              <w:t>--</w:t>
            </w:r>
          </w:p>
        </w:tc>
        <w:tc>
          <w:tcPr>
            <w:tcW w:type="dxa" w:w="1337"/>
          </w:tcPr>
          <w:p>
            <w:pPr>
              <w:spacing w:before="20" w:after="20"/>
            </w:pPr>
            <w:r>
              <w:rPr>
                <w:sz w:val="18"/>
              </w:rPr>
              <w:t>M-18</w:t>
            </w:r>
          </w:p>
        </w:tc>
        <w:tc>
          <w:tcPr>
            <w:tcW w:type="dxa" w:w="1337"/>
          </w:tcPr>
          <w:p>
            <w:pPr>
              <w:spacing w:before="20" w:after="20"/>
            </w:pPr>
            <w:r>
              <w:rPr>
                <w:sz w:val="18"/>
              </w:rPr>
              <w:t>--</w:t>
            </w:r>
          </w:p>
        </w:tc>
      </w:tr>
    </w:tbl>
    <w:p/>
    <w:p>
      <w:pPr>
        <w:pStyle w:val="Heading2"/>
      </w:pPr>
      <w:r>
        <w:t>11.2 Go/No-Go Decision Points</w:t>
      </w:r>
    </w:p>
    <w:p>
      <w:pPr>
        <w:spacing w:after="80"/>
      </w:pPr>
      <w:r>
        <w:t>Each milestone marked with "Yes" in the Go/No-Go column requires a formal decision meeting with the following attendees:</w:t>
      </w:r>
    </w:p>
    <w:p>
      <w:pPr>
        <w:pStyle w:val="ListBullet"/>
        <w:spacing w:before="20" w:after="20"/>
      </w:pPr>
      <w:r>
        <w:t>Project Manager (Chair)</w:t>
      </w:r>
    </w:p>
    <w:p>
      <w:pPr>
        <w:pStyle w:val="ListBullet"/>
        <w:spacing w:before="20" w:after="20"/>
      </w:pPr>
      <w:r>
        <w:t>CIO or designee</w:t>
      </w:r>
    </w:p>
    <w:p>
      <w:pPr>
        <w:pStyle w:val="ListBullet"/>
        <w:spacing w:before="20" w:after="20"/>
      </w:pPr>
      <w:r>
        <w:t>ISSO (for security milestones)</w:t>
      </w:r>
    </w:p>
    <w:p>
      <w:pPr>
        <w:pStyle w:val="ListBullet"/>
        <w:spacing w:before="20" w:after="20"/>
      </w:pPr>
      <w:r>
        <w:t>Business Owner (Assistant IG for Investigations)</w:t>
      </w:r>
    </w:p>
    <w:p>
      <w:pPr>
        <w:pStyle w:val="ListBullet"/>
        <w:spacing w:before="20" w:after="20"/>
      </w:pPr>
      <w:r>
        <w:t>Lead Developer</w:t>
      </w:r>
    </w:p>
    <w:p>
      <w:pPr>
        <w:spacing w:after="80"/>
      </w:pPr>
      <w:r>
        <w:t>Decision Criteria: All exit criteria for the preceding phase must be met. Any open critical or high-severity defects must have an approved mitigation plan. Formal Go/No-Go decision documented in project record.</w:t>
      </w:r>
    </w:p>
    <w:p>
      <w:r>
        <w:t>____________________________________________________________</w:t>
      </w:r>
    </w:p>
    <w:p>
      <w:pPr>
        <w:pStyle w:val="Heading1"/>
      </w:pPr>
      <w:r>
        <w:t>12. Appendices</w:t>
      </w:r>
    </w:p>
    <w:p>
      <w:pPr>
        <w:pStyle w:val="Heading2"/>
      </w:pPr>
      <w:r>
        <w:t>Appendix A: Technology Stack Details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pPr>
              <w:spacing w:before="20" w:after="20"/>
            </w:pPr>
            <w:r>
              <w:rPr>
                <w:sz w:val="18"/>
              </w:rPr>
              <w:t>Layer</w:t>
            </w:r>
          </w:p>
        </w:tc>
        <w:tc>
          <w:tcPr>
            <w:tcW w:type="dxa" w:w="2340"/>
          </w:tcPr>
          <w:p>
            <w:pPr>
              <w:spacing w:before="20" w:after="20"/>
            </w:pPr>
            <w:r>
              <w:rPr>
                <w:sz w:val="18"/>
              </w:rPr>
              <w:t>Technology</w:t>
            </w:r>
          </w:p>
        </w:tc>
        <w:tc>
          <w:tcPr>
            <w:tcW w:type="dxa" w:w="2340"/>
          </w:tcPr>
          <w:p>
            <w:pPr>
              <w:spacing w:before="20" w:after="20"/>
            </w:pPr>
            <w:r>
              <w:rPr>
                <w:sz w:val="18"/>
              </w:rPr>
              <w:t>Version</w:t>
            </w:r>
          </w:p>
        </w:tc>
        <w:tc>
          <w:tcPr>
            <w:tcW w:type="dxa" w:w="2340"/>
          </w:tcPr>
          <w:p>
            <w:pPr>
              <w:spacing w:before="20" w:after="20"/>
            </w:pPr>
            <w:r>
              <w:rPr>
                <w:sz w:val="18"/>
              </w:rPr>
              <w:t>Purpose</w:t>
            </w:r>
          </w:p>
        </w:tc>
      </w:tr>
      <w:tr>
        <w:tc>
          <w:tcPr>
            <w:tcW w:type="dxa" w:w="2340"/>
          </w:tcPr>
          <w:p>
            <w:pPr>
              <w:spacing w:before="20" w:after="20"/>
            </w:pPr>
            <w:r>
              <w:rPr>
                <w:sz w:val="18"/>
              </w:rPr>
              <w:t>Frontend</w:t>
            </w:r>
          </w:p>
        </w:tc>
        <w:tc>
          <w:tcPr>
            <w:tcW w:type="dxa" w:w="2340"/>
          </w:tcPr>
          <w:p>
            <w:pPr>
              <w:spacing w:before="20" w:after="20"/>
            </w:pPr>
            <w:r>
              <w:rPr>
                <w:sz w:val="18"/>
              </w:rPr>
              <w:t>React</w:t>
            </w:r>
          </w:p>
        </w:tc>
        <w:tc>
          <w:tcPr>
            <w:tcW w:type="dxa" w:w="2340"/>
          </w:tcPr>
          <w:p>
            <w:pPr>
              <w:spacing w:before="20" w:after="20"/>
            </w:pPr>
            <w:r>
              <w:rPr>
                <w:sz w:val="18"/>
              </w:rPr>
              <w:t>19.2.4</w:t>
            </w:r>
          </w:p>
        </w:tc>
        <w:tc>
          <w:tcPr>
            <w:tcW w:type="dxa" w:w="2340"/>
          </w:tcPr>
          <w:p>
            <w:pPr>
              <w:spacing w:before="20" w:after="20"/>
            </w:pPr>
            <w:r>
              <w:rPr>
                <w:sz w:val="18"/>
              </w:rPr>
              <w:t>User interface rendering</w:t>
            </w:r>
          </w:p>
        </w:tc>
      </w:tr>
      <w:tr>
        <w:tc>
          <w:tcPr>
            <w:tcW w:type="dxa" w:w="2340"/>
          </w:tcPr>
          <w:p>
            <w:pPr>
              <w:spacing w:before="20" w:after="20"/>
            </w:pPr>
            <w:r>
              <w:rPr>
                <w:sz w:val="18"/>
              </w:rPr>
              <w:t>Framework</w:t>
            </w:r>
          </w:p>
        </w:tc>
        <w:tc>
          <w:tcPr>
            <w:tcW w:type="dxa" w:w="2340"/>
          </w:tcPr>
          <w:p>
            <w:pPr>
              <w:spacing w:before="20" w:after="20"/>
            </w:pPr>
            <w:r>
              <w:rPr>
                <w:sz w:val="18"/>
              </w:rPr>
              <w:t>Next.js</w:t>
            </w:r>
          </w:p>
        </w:tc>
        <w:tc>
          <w:tcPr>
            <w:tcW w:type="dxa" w:w="2340"/>
          </w:tcPr>
          <w:p>
            <w:pPr>
              <w:spacing w:before="20" w:after="20"/>
            </w:pPr>
            <w:r>
              <w:rPr>
                <w:sz w:val="18"/>
              </w:rPr>
              <w:t>16.2.1</w:t>
            </w:r>
          </w:p>
        </w:tc>
        <w:tc>
          <w:tcPr>
            <w:tcW w:type="dxa" w:w="2340"/>
          </w:tcPr>
          <w:p>
            <w:pPr>
              <w:spacing w:before="20" w:after="20"/>
            </w:pPr>
            <w:r>
              <w:rPr>
                <w:sz w:val="18"/>
              </w:rPr>
              <w:t>Full-stack application framework</w:t>
            </w:r>
          </w:p>
        </w:tc>
      </w:tr>
      <w:tr>
        <w:tc>
          <w:tcPr>
            <w:tcW w:type="dxa" w:w="2340"/>
          </w:tcPr>
          <w:p>
            <w:pPr>
              <w:spacing w:before="20" w:after="20"/>
            </w:pPr>
            <w:r>
              <w:rPr>
                <w:sz w:val="18"/>
              </w:rPr>
              <w:t>ORM</w:t>
            </w:r>
          </w:p>
        </w:tc>
        <w:tc>
          <w:tcPr>
            <w:tcW w:type="dxa" w:w="2340"/>
          </w:tcPr>
          <w:p>
            <w:pPr>
              <w:spacing w:before="20" w:after="20"/>
            </w:pPr>
            <w:r>
              <w:rPr>
                <w:sz w:val="18"/>
              </w:rPr>
              <w:t>Prisma</w:t>
            </w:r>
          </w:p>
        </w:tc>
        <w:tc>
          <w:tcPr>
            <w:tcW w:type="dxa" w:w="2340"/>
          </w:tcPr>
          <w:p>
            <w:pPr>
              <w:spacing w:before="20" w:after="20"/>
            </w:pPr>
            <w:r>
              <w:rPr>
                <w:sz w:val="18"/>
              </w:rPr>
              <w:t>7.6.0</w:t>
            </w:r>
          </w:p>
        </w:tc>
        <w:tc>
          <w:tcPr>
            <w:tcW w:type="dxa" w:w="2340"/>
          </w:tcPr>
          <w:p>
            <w:pPr>
              <w:spacing w:before="20" w:after="20"/>
            </w:pPr>
            <w:r>
              <w:rPr>
                <w:sz w:val="18"/>
              </w:rPr>
              <w:t>Database access and schema management</w:t>
            </w:r>
          </w:p>
        </w:tc>
      </w:tr>
      <w:tr>
        <w:tc>
          <w:tcPr>
            <w:tcW w:type="dxa" w:w="2340"/>
          </w:tcPr>
          <w:p>
            <w:pPr>
              <w:spacing w:before="20" w:after="20"/>
            </w:pPr>
            <w:r>
              <w:rPr>
                <w:sz w:val="18"/>
              </w:rPr>
              <w:t>Database</w:t>
            </w:r>
          </w:p>
        </w:tc>
        <w:tc>
          <w:tcPr>
            <w:tcW w:type="dxa" w:w="2340"/>
          </w:tcPr>
          <w:p>
            <w:pPr>
              <w:spacing w:before="20" w:after="20"/>
            </w:pPr>
            <w:r>
              <w:rPr>
                <w:sz w:val="18"/>
              </w:rPr>
              <w:t>PostgreSQL</w:t>
            </w:r>
          </w:p>
        </w:tc>
        <w:tc>
          <w:tcPr>
            <w:tcW w:type="dxa" w:w="2340"/>
          </w:tcPr>
          <w:p>
            <w:pPr>
              <w:spacing w:before="20" w:after="20"/>
            </w:pPr>
            <w:r>
              <w:rPr>
                <w:sz w:val="18"/>
              </w:rPr>
              <w:t>16 Alpine</w:t>
            </w:r>
          </w:p>
        </w:tc>
        <w:tc>
          <w:tcPr>
            <w:tcW w:type="dxa" w:w="2340"/>
          </w:tcPr>
          <w:p>
            <w:pPr>
              <w:spacing w:before="20" w:after="20"/>
            </w:pPr>
            <w:r>
              <w:rPr>
                <w:sz w:val="18"/>
              </w:rPr>
              <w:t>Primary data store</w:t>
            </w:r>
          </w:p>
        </w:tc>
      </w:tr>
      <w:tr>
        <w:tc>
          <w:tcPr>
            <w:tcW w:type="dxa" w:w="2340"/>
          </w:tcPr>
          <w:p>
            <w:pPr>
              <w:spacing w:before="20" w:after="20"/>
            </w:pPr>
            <w:r>
              <w:rPr>
                <w:sz w:val="18"/>
              </w:rPr>
              <w:t>Search Engine</w:t>
            </w:r>
          </w:p>
        </w:tc>
        <w:tc>
          <w:tcPr>
            <w:tcW w:type="dxa" w:w="2340"/>
          </w:tcPr>
          <w:p>
            <w:pPr>
              <w:spacing w:before="20" w:after="20"/>
            </w:pPr>
            <w:r>
              <w:rPr>
                <w:sz w:val="18"/>
              </w:rPr>
              <w:t>MeiliSearch</w:t>
            </w:r>
          </w:p>
        </w:tc>
        <w:tc>
          <w:tcPr>
            <w:tcW w:type="dxa" w:w="2340"/>
          </w:tcPr>
          <w:p>
            <w:pPr>
              <w:spacing w:before="20" w:after="20"/>
            </w:pPr>
            <w:r>
              <w:rPr>
                <w:sz w:val="18"/>
              </w:rPr>
              <w:t>1.6</w:t>
            </w:r>
          </w:p>
        </w:tc>
        <w:tc>
          <w:tcPr>
            <w:tcW w:type="dxa" w:w="2340"/>
          </w:tcPr>
          <w:p>
            <w:pPr>
              <w:spacing w:before="20" w:after="20"/>
            </w:pPr>
            <w:r>
              <w:rPr>
                <w:sz w:val="18"/>
              </w:rPr>
              <w:t>Full-text search and indexing</w:t>
            </w:r>
          </w:p>
        </w:tc>
      </w:tr>
      <w:tr>
        <w:tc>
          <w:tcPr>
            <w:tcW w:type="dxa" w:w="2340"/>
          </w:tcPr>
          <w:p>
            <w:pPr>
              <w:spacing w:before="20" w:after="20"/>
            </w:pPr>
            <w:r>
              <w:rPr>
                <w:sz w:val="18"/>
              </w:rPr>
              <w:t>Object Storage</w:t>
            </w:r>
          </w:p>
        </w:tc>
        <w:tc>
          <w:tcPr>
            <w:tcW w:type="dxa" w:w="2340"/>
          </w:tcPr>
          <w:p>
            <w:pPr>
              <w:spacing w:before="20" w:after="20"/>
            </w:pPr>
            <w:r>
              <w:rPr>
                <w:sz w:val="18"/>
              </w:rPr>
              <w:t>MinIO</w:t>
            </w:r>
          </w:p>
        </w:tc>
        <w:tc>
          <w:tcPr>
            <w:tcW w:type="dxa" w:w="2340"/>
          </w:tcPr>
          <w:p>
            <w:pPr>
              <w:spacing w:before="20" w:after="20"/>
            </w:pPr>
            <w:r>
              <w:rPr>
                <w:sz w:val="18"/>
              </w:rPr>
              <w:t>Latest</w:t>
            </w:r>
          </w:p>
        </w:tc>
        <w:tc>
          <w:tcPr>
            <w:tcW w:type="dxa" w:w="2340"/>
          </w:tcPr>
          <w:p>
            <w:pPr>
              <w:spacing w:before="20" w:after="20"/>
            </w:pPr>
            <w:r>
              <w:rPr>
                <w:sz w:val="18"/>
              </w:rPr>
              <w:t>S3-compatible file storage</w:t>
            </w:r>
          </w:p>
        </w:tc>
      </w:tr>
      <w:tr>
        <w:tc>
          <w:tcPr>
            <w:tcW w:type="dxa" w:w="2340"/>
          </w:tcPr>
          <w:p>
            <w:pPr>
              <w:spacing w:before="20" w:after="20"/>
            </w:pPr>
            <w:r>
              <w:rPr>
                <w:sz w:val="18"/>
              </w:rPr>
              <w:t>Cache/Queue</w:t>
            </w:r>
          </w:p>
        </w:tc>
        <w:tc>
          <w:tcPr>
            <w:tcW w:type="dxa" w:w="2340"/>
          </w:tcPr>
          <w:p>
            <w:pPr>
              <w:spacing w:before="20" w:after="20"/>
            </w:pPr>
            <w:r>
              <w:rPr>
                <w:sz w:val="18"/>
              </w:rPr>
              <w:t>Redis</w:t>
            </w:r>
          </w:p>
        </w:tc>
        <w:tc>
          <w:tcPr>
            <w:tcW w:type="dxa" w:w="2340"/>
          </w:tcPr>
          <w:p>
            <w:pPr>
              <w:spacing w:before="20" w:after="20"/>
            </w:pPr>
            <w:r>
              <w:rPr>
                <w:sz w:val="18"/>
              </w:rPr>
              <w:t>7 Alpine</w:t>
            </w:r>
          </w:p>
        </w:tc>
        <w:tc>
          <w:tcPr>
            <w:tcW w:type="dxa" w:w="2340"/>
          </w:tcPr>
          <w:p>
            <w:pPr>
              <w:spacing w:before="20" w:after="20"/>
            </w:pPr>
            <w:r>
              <w:rPr>
                <w:sz w:val="18"/>
              </w:rPr>
              <w:t>Session cache and job queue backend</w:t>
            </w:r>
          </w:p>
        </w:tc>
      </w:tr>
      <w:tr>
        <w:tc>
          <w:tcPr>
            <w:tcW w:type="dxa" w:w="2340"/>
          </w:tcPr>
          <w:p>
            <w:pPr>
              <w:spacing w:before="20" w:after="20"/>
            </w:pPr>
            <w:r>
              <w:rPr>
                <w:sz w:val="18"/>
              </w:rPr>
              <w:t>Job Queue</w:t>
            </w:r>
          </w:p>
        </w:tc>
        <w:tc>
          <w:tcPr>
            <w:tcW w:type="dxa" w:w="2340"/>
          </w:tcPr>
          <w:p>
            <w:pPr>
              <w:spacing w:before="20" w:after="20"/>
            </w:pPr>
            <w:r>
              <w:rPr>
                <w:sz w:val="18"/>
              </w:rPr>
              <w:t>BullMQ</w:t>
            </w:r>
          </w:p>
        </w:tc>
        <w:tc>
          <w:tcPr>
            <w:tcW w:type="dxa" w:w="2340"/>
          </w:tcPr>
          <w:p>
            <w:pPr>
              <w:spacing w:before="20" w:after="20"/>
            </w:pPr>
            <w:r>
              <w:rPr>
                <w:sz w:val="18"/>
              </w:rPr>
              <w:t>5.71.1</w:t>
            </w:r>
          </w:p>
        </w:tc>
        <w:tc>
          <w:tcPr>
            <w:tcW w:type="dxa" w:w="2340"/>
          </w:tcPr>
          <w:p>
            <w:pPr>
              <w:spacing w:before="20" w:after="20"/>
            </w:pPr>
            <w:r>
              <w:rPr>
                <w:sz w:val="18"/>
              </w:rPr>
              <w:t>Background job processing</w:t>
            </w:r>
          </w:p>
        </w:tc>
      </w:tr>
      <w:tr>
        <w:tc>
          <w:tcPr>
            <w:tcW w:type="dxa" w:w="2340"/>
          </w:tcPr>
          <w:p>
            <w:pPr>
              <w:spacing w:before="20" w:after="20"/>
            </w:pPr>
            <w:r>
              <w:rPr>
                <w:sz w:val="18"/>
              </w:rPr>
              <w:t>Authentication</w:t>
            </w:r>
          </w:p>
        </w:tc>
        <w:tc>
          <w:tcPr>
            <w:tcW w:type="dxa" w:w="2340"/>
          </w:tcPr>
          <w:p>
            <w:pPr>
              <w:spacing w:before="20" w:after="20"/>
            </w:pPr>
            <w:r>
              <w:rPr>
                <w:sz w:val="18"/>
              </w:rPr>
              <w:t>NextAuth.js</w:t>
            </w:r>
          </w:p>
        </w:tc>
        <w:tc>
          <w:tcPr>
            <w:tcW w:type="dxa" w:w="2340"/>
          </w:tcPr>
          <w:p>
            <w:pPr>
              <w:spacing w:before="20" w:after="20"/>
            </w:pPr>
            <w:r>
              <w:rPr>
                <w:sz w:val="18"/>
              </w:rPr>
              <w:t>4.24.13</w:t>
            </w:r>
          </w:p>
        </w:tc>
        <w:tc>
          <w:tcPr>
            <w:tcW w:type="dxa" w:w="2340"/>
          </w:tcPr>
          <w:p>
            <w:pPr>
              <w:spacing w:before="20" w:after="20"/>
            </w:pPr>
            <w:r>
              <w:rPr>
                <w:sz w:val="18"/>
              </w:rPr>
              <w:t>Authentication and session management</w:t>
            </w:r>
          </w:p>
        </w:tc>
      </w:tr>
      <w:tr>
        <w:tc>
          <w:tcPr>
            <w:tcW w:type="dxa" w:w="2340"/>
          </w:tcPr>
          <w:p>
            <w:pPr>
              <w:spacing w:before="20" w:after="20"/>
            </w:pPr>
            <w:r>
              <w:rPr>
                <w:sz w:val="18"/>
              </w:rPr>
              <w:t>AI/ML</w:t>
            </w:r>
          </w:p>
        </w:tc>
        <w:tc>
          <w:tcPr>
            <w:tcW w:type="dxa" w:w="2340"/>
          </w:tcPr>
          <w:p>
            <w:pPr>
              <w:spacing w:before="20" w:after="20"/>
            </w:pPr>
            <w:r>
              <w:rPr>
                <w:sz w:val="18"/>
              </w:rPr>
              <w:t>Anthropic Claude SDK</w:t>
            </w:r>
          </w:p>
        </w:tc>
        <w:tc>
          <w:tcPr>
            <w:tcW w:type="dxa" w:w="2340"/>
          </w:tcPr>
          <w:p>
            <w:pPr>
              <w:spacing w:before="20" w:after="20"/>
            </w:pPr>
            <w:r>
              <w:rPr>
                <w:sz w:val="18"/>
              </w:rPr>
              <w:t>0.81.0</w:t>
            </w:r>
          </w:p>
        </w:tc>
        <w:tc>
          <w:tcPr>
            <w:tcW w:type="dxa" w:w="2340"/>
          </w:tcPr>
          <w:p>
            <w:pPr>
              <w:spacing w:before="20" w:after="20"/>
            </w:pPr>
            <w:r>
              <w:rPr>
                <w:sz w:val="18"/>
              </w:rPr>
              <w:t>AI-powered investigation intelligence</w:t>
            </w:r>
          </w:p>
        </w:tc>
      </w:tr>
      <w:tr>
        <w:tc>
          <w:tcPr>
            <w:tcW w:type="dxa" w:w="2340"/>
          </w:tcPr>
          <w:p>
            <w:pPr>
              <w:spacing w:before="20" w:after="20"/>
            </w:pPr>
            <w:r>
              <w:rPr>
                <w:sz w:val="18"/>
              </w:rPr>
              <w:t>UI Components</w:t>
            </w:r>
          </w:p>
        </w:tc>
        <w:tc>
          <w:tcPr>
            <w:tcW w:type="dxa" w:w="2340"/>
          </w:tcPr>
          <w:p>
            <w:pPr>
              <w:spacing w:before="20" w:after="20"/>
            </w:pPr>
            <w:r>
              <w:rPr>
                <w:sz w:val="18"/>
              </w:rPr>
              <w:t>shadcn/ui + Radix</w:t>
            </w:r>
          </w:p>
        </w:tc>
        <w:tc>
          <w:tcPr>
            <w:tcW w:type="dxa" w:w="2340"/>
          </w:tcPr>
          <w:p>
            <w:pPr>
              <w:spacing w:before="20" w:after="20"/>
            </w:pPr>
            <w:r>
              <w:rPr>
                <w:sz w:val="18"/>
              </w:rPr>
              <w:t>4.1.1</w:t>
            </w:r>
          </w:p>
        </w:tc>
        <w:tc>
          <w:tcPr>
            <w:tcW w:type="dxa" w:w="2340"/>
          </w:tcPr>
          <w:p>
            <w:pPr>
              <w:spacing w:before="20" w:after="20"/>
            </w:pPr>
            <w:r>
              <w:rPr>
                <w:sz w:val="18"/>
              </w:rPr>
              <w:t>Accessible component library</w:t>
            </w:r>
          </w:p>
        </w:tc>
      </w:tr>
      <w:tr>
        <w:tc>
          <w:tcPr>
            <w:tcW w:type="dxa" w:w="2340"/>
          </w:tcPr>
          <w:p>
            <w:pPr>
              <w:spacing w:before="20" w:after="20"/>
            </w:pPr>
            <w:r>
              <w:rPr>
                <w:sz w:val="18"/>
              </w:rPr>
              <w:t>Charts</w:t>
            </w:r>
          </w:p>
        </w:tc>
        <w:tc>
          <w:tcPr>
            <w:tcW w:type="dxa" w:w="2340"/>
          </w:tcPr>
          <w:p>
            <w:pPr>
              <w:spacing w:before="20" w:after="20"/>
            </w:pPr>
            <w:r>
              <w:rPr>
                <w:sz w:val="18"/>
              </w:rPr>
              <w:t>Recharts</w:t>
            </w:r>
          </w:p>
        </w:tc>
        <w:tc>
          <w:tcPr>
            <w:tcW w:type="dxa" w:w="2340"/>
          </w:tcPr>
          <w:p>
            <w:pPr>
              <w:spacing w:before="20" w:after="20"/>
            </w:pPr>
            <w:r>
              <w:rPr>
                <w:sz w:val="18"/>
              </w:rPr>
              <w:t>3.8.1</w:t>
            </w:r>
          </w:p>
        </w:tc>
        <w:tc>
          <w:tcPr>
            <w:tcW w:type="dxa" w:w="2340"/>
          </w:tcPr>
          <w:p>
            <w:pPr>
              <w:spacing w:before="20" w:after="20"/>
            </w:pPr>
            <w:r>
              <w:rPr>
                <w:sz w:val="18"/>
              </w:rPr>
              <w:t>Data visualization</w:t>
            </w:r>
          </w:p>
        </w:tc>
      </w:tr>
      <w:tr>
        <w:tc>
          <w:tcPr>
            <w:tcW w:type="dxa" w:w="2340"/>
          </w:tcPr>
          <w:p>
            <w:pPr>
              <w:spacing w:before="20" w:after="20"/>
            </w:pPr>
            <w:r>
              <w:rPr>
                <w:sz w:val="18"/>
              </w:rPr>
              <w:t>Rich Text</w:t>
            </w:r>
          </w:p>
        </w:tc>
        <w:tc>
          <w:tcPr>
            <w:tcW w:type="dxa" w:w="2340"/>
          </w:tcPr>
          <w:p>
            <w:pPr>
              <w:spacing w:before="20" w:after="20"/>
            </w:pPr>
            <w:r>
              <w:rPr>
                <w:sz w:val="18"/>
              </w:rPr>
              <w:t>TipTap</w:t>
            </w:r>
          </w:p>
        </w:tc>
        <w:tc>
          <w:tcPr>
            <w:tcW w:type="dxa" w:w="2340"/>
          </w:tcPr>
          <w:p>
            <w:pPr>
              <w:spacing w:before="20" w:after="20"/>
            </w:pPr>
            <w:r>
              <w:rPr>
                <w:sz w:val="18"/>
              </w:rPr>
              <w:t>3.21.0</w:t>
            </w:r>
          </w:p>
        </w:tc>
        <w:tc>
          <w:tcPr>
            <w:tcW w:type="dxa" w:w="2340"/>
          </w:tcPr>
          <w:p>
            <w:pPr>
              <w:spacing w:before="20" w:after="20"/>
            </w:pPr>
            <w:r>
              <w:rPr>
                <w:sz w:val="18"/>
              </w:rPr>
              <w:t>Rich text editing for notes/documents</w:t>
            </w:r>
          </w:p>
        </w:tc>
      </w:tr>
      <w:tr>
        <w:tc>
          <w:tcPr>
            <w:tcW w:type="dxa" w:w="2340"/>
          </w:tcPr>
          <w:p>
            <w:pPr>
              <w:spacing w:before="20" w:after="20"/>
            </w:pPr>
            <w:r>
              <w:rPr>
                <w:sz w:val="18"/>
              </w:rPr>
              <w:t>Forms</w:t>
            </w:r>
          </w:p>
        </w:tc>
        <w:tc>
          <w:tcPr>
            <w:tcW w:type="dxa" w:w="2340"/>
          </w:tcPr>
          <w:p>
            <w:pPr>
              <w:spacing w:before="20" w:after="20"/>
            </w:pPr>
            <w:r>
              <w:rPr>
                <w:sz w:val="18"/>
              </w:rPr>
              <w:t>React Hook Form + Zod</w:t>
            </w:r>
          </w:p>
        </w:tc>
        <w:tc>
          <w:tcPr>
            <w:tcW w:type="dxa" w:w="2340"/>
          </w:tcPr>
          <w:p>
            <w:pPr>
              <w:spacing w:before="20" w:after="20"/>
            </w:pPr>
            <w:r>
              <w:rPr>
                <w:sz w:val="18"/>
              </w:rPr>
              <w:t>7.72.0</w:t>
            </w:r>
          </w:p>
        </w:tc>
        <w:tc>
          <w:tcPr>
            <w:tcW w:type="dxa" w:w="2340"/>
          </w:tcPr>
          <w:p>
            <w:pPr>
              <w:spacing w:before="20" w:after="20"/>
            </w:pPr>
            <w:r>
              <w:rPr>
                <w:sz w:val="18"/>
              </w:rPr>
              <w:t>Form management and validation</w:t>
            </w:r>
          </w:p>
        </w:tc>
      </w:tr>
      <w:tr>
        <w:tc>
          <w:tcPr>
            <w:tcW w:type="dxa" w:w="2340"/>
          </w:tcPr>
          <w:p>
            <w:pPr>
              <w:spacing w:before="20" w:after="20"/>
            </w:pPr>
            <w:r>
              <w:rPr>
                <w:sz w:val="18"/>
              </w:rPr>
              <w:t>State Management</w:t>
            </w:r>
          </w:p>
        </w:tc>
        <w:tc>
          <w:tcPr>
            <w:tcW w:type="dxa" w:w="2340"/>
          </w:tcPr>
          <w:p>
            <w:pPr>
              <w:spacing w:before="20" w:after="20"/>
            </w:pPr>
            <w:r>
              <w:rPr>
                <w:sz w:val="18"/>
              </w:rPr>
              <w:t>Zustand</w:t>
            </w:r>
          </w:p>
        </w:tc>
        <w:tc>
          <w:tcPr>
            <w:tcW w:type="dxa" w:w="2340"/>
          </w:tcPr>
          <w:p>
            <w:pPr>
              <w:spacing w:before="20" w:after="20"/>
            </w:pPr>
            <w:r>
              <w:rPr>
                <w:sz w:val="18"/>
              </w:rPr>
              <w:t>5.0.12</w:t>
            </w:r>
          </w:p>
        </w:tc>
        <w:tc>
          <w:tcPr>
            <w:tcW w:type="dxa" w:w="2340"/>
          </w:tcPr>
          <w:p>
            <w:pPr>
              <w:spacing w:before="20" w:after="20"/>
            </w:pPr>
            <w:r>
              <w:rPr>
                <w:sz w:val="18"/>
              </w:rPr>
              <w:t>Client-side state management</w:t>
            </w:r>
          </w:p>
        </w:tc>
      </w:tr>
      <w:tr>
        <w:tc>
          <w:tcPr>
            <w:tcW w:type="dxa" w:w="2340"/>
          </w:tcPr>
          <w:p>
            <w:pPr>
              <w:spacing w:before="20" w:after="20"/>
            </w:pPr>
            <w:r>
              <w:rPr>
                <w:sz w:val="18"/>
              </w:rPr>
              <w:t>Styling</w:t>
            </w:r>
          </w:p>
        </w:tc>
        <w:tc>
          <w:tcPr>
            <w:tcW w:type="dxa" w:w="2340"/>
          </w:tcPr>
          <w:p>
            <w:pPr>
              <w:spacing w:before="20" w:after="20"/>
            </w:pPr>
            <w:r>
              <w:rPr>
                <w:sz w:val="18"/>
              </w:rPr>
              <w:t>Tailwind CSS</w:t>
            </w:r>
          </w:p>
        </w:tc>
        <w:tc>
          <w:tcPr>
            <w:tcW w:type="dxa" w:w="2340"/>
          </w:tcPr>
          <w:p>
            <w:pPr>
              <w:spacing w:before="20" w:after="20"/>
            </w:pPr>
            <w:r>
              <w:rPr>
                <w:sz w:val="18"/>
              </w:rPr>
              <w:t>4.x</w:t>
            </w:r>
          </w:p>
        </w:tc>
        <w:tc>
          <w:tcPr>
            <w:tcW w:type="dxa" w:w="2340"/>
          </w:tcPr>
          <w:p>
            <w:pPr>
              <w:spacing w:before="20" w:after="20"/>
            </w:pPr>
            <w:r>
              <w:rPr>
                <w:sz w:val="18"/>
              </w:rPr>
              <w:t>Utility-first CSS framework</w:t>
            </w:r>
          </w:p>
        </w:tc>
      </w:tr>
      <w:tr>
        <w:tc>
          <w:tcPr>
            <w:tcW w:type="dxa" w:w="2340"/>
          </w:tcPr>
          <w:p>
            <w:pPr>
              <w:spacing w:before="20" w:after="20"/>
            </w:pPr>
            <w:r>
              <w:rPr>
                <w:sz w:val="18"/>
              </w:rPr>
              <w:t>Email</w:t>
            </w:r>
          </w:p>
        </w:tc>
        <w:tc>
          <w:tcPr>
            <w:tcW w:type="dxa" w:w="2340"/>
          </w:tcPr>
          <w:p>
            <w:pPr>
              <w:spacing w:before="20" w:after="20"/>
            </w:pPr>
            <w:r>
              <w:rPr>
                <w:sz w:val="18"/>
              </w:rPr>
              <w:t>Nodemailer</w:t>
            </w:r>
          </w:p>
        </w:tc>
        <w:tc>
          <w:tcPr>
            <w:tcW w:type="dxa" w:w="2340"/>
          </w:tcPr>
          <w:p>
            <w:pPr>
              <w:spacing w:before="20" w:after="20"/>
            </w:pPr>
            <w:r>
              <w:rPr>
                <w:sz w:val="18"/>
              </w:rPr>
              <w:t>7.0.13</w:t>
            </w:r>
          </w:p>
        </w:tc>
        <w:tc>
          <w:tcPr>
            <w:tcW w:type="dxa" w:w="2340"/>
          </w:tcPr>
          <w:p>
            <w:pPr>
              <w:spacing w:before="20" w:after="20"/>
            </w:pPr>
            <w:r>
              <w:rPr>
                <w:sz w:val="18"/>
              </w:rPr>
              <w:t>Email notification delivery</w:t>
            </w:r>
          </w:p>
        </w:tc>
      </w:tr>
      <w:tr>
        <w:tc>
          <w:tcPr>
            <w:tcW w:type="dxa" w:w="2340"/>
          </w:tcPr>
          <w:p>
            <w:pPr>
              <w:spacing w:before="20" w:after="20"/>
            </w:pPr>
            <w:r>
              <w:rPr>
                <w:sz w:val="18"/>
              </w:rPr>
              <w:t>File Processing</w:t>
            </w:r>
          </w:p>
        </w:tc>
        <w:tc>
          <w:tcPr>
            <w:tcW w:type="dxa" w:w="2340"/>
          </w:tcPr>
          <w:p>
            <w:pPr>
              <w:spacing w:before="20" w:after="20"/>
            </w:pPr>
            <w:r>
              <w:rPr>
                <w:sz w:val="18"/>
              </w:rPr>
              <w:t>Archiver</w:t>
            </w:r>
          </w:p>
        </w:tc>
        <w:tc>
          <w:tcPr>
            <w:tcW w:type="dxa" w:w="2340"/>
          </w:tcPr>
          <w:p>
            <w:pPr>
              <w:spacing w:before="20" w:after="20"/>
            </w:pPr>
            <w:r>
              <w:rPr>
                <w:sz w:val="18"/>
              </w:rPr>
              <w:t>7.0.1</w:t>
            </w:r>
          </w:p>
        </w:tc>
        <w:tc>
          <w:tcPr>
            <w:tcW w:type="dxa" w:w="2340"/>
          </w:tcPr>
          <w:p>
            <w:pPr>
              <w:spacing w:before="20" w:after="20"/>
            </w:pPr>
            <w:r>
              <w:rPr>
                <w:sz w:val="18"/>
              </w:rPr>
              <w:t>ZIP archive generation</w:t>
            </w:r>
          </w:p>
        </w:tc>
      </w:tr>
      <w:tr>
        <w:tc>
          <w:tcPr>
            <w:tcW w:type="dxa" w:w="2340"/>
          </w:tcPr>
          <w:p>
            <w:pPr>
              <w:spacing w:before="20" w:after="20"/>
            </w:pPr>
            <w:r>
              <w:rPr>
                <w:sz w:val="18"/>
              </w:rPr>
              <w:t>Spreadsheets</w:t>
            </w:r>
          </w:p>
        </w:tc>
        <w:tc>
          <w:tcPr>
            <w:tcW w:type="dxa" w:w="2340"/>
          </w:tcPr>
          <w:p>
            <w:pPr>
              <w:spacing w:before="20" w:after="20"/>
            </w:pPr>
            <w:r>
              <w:rPr>
                <w:sz w:val="18"/>
              </w:rPr>
              <w:t>SheetJS (xlsx)</w:t>
            </w:r>
          </w:p>
        </w:tc>
        <w:tc>
          <w:tcPr>
            <w:tcW w:type="dxa" w:w="2340"/>
          </w:tcPr>
          <w:p>
            <w:pPr>
              <w:spacing w:before="20" w:after="20"/>
            </w:pPr>
            <w:r>
              <w:rPr>
                <w:sz w:val="18"/>
              </w:rPr>
              <w:t>0.18.5</w:t>
            </w:r>
          </w:p>
        </w:tc>
        <w:tc>
          <w:tcPr>
            <w:tcW w:type="dxa" w:w="2340"/>
          </w:tcPr>
          <w:p>
            <w:pPr>
              <w:spacing w:before="20" w:after="20"/>
            </w:pPr>
            <w:r>
              <w:rPr>
                <w:sz w:val="18"/>
              </w:rPr>
              <w:t>Excel import/export</w:t>
            </w:r>
          </w:p>
        </w:tc>
      </w:tr>
      <w:tr>
        <w:tc>
          <w:tcPr>
            <w:tcW w:type="dxa" w:w="2340"/>
          </w:tcPr>
          <w:p>
            <w:pPr>
              <w:spacing w:before="20" w:after="20"/>
            </w:pPr>
            <w:r>
              <w:rPr>
                <w:sz w:val="18"/>
              </w:rPr>
              <w:t>Containerization</w:t>
            </w:r>
          </w:p>
        </w:tc>
        <w:tc>
          <w:tcPr>
            <w:tcW w:type="dxa" w:w="2340"/>
          </w:tcPr>
          <w:p>
            <w:pPr>
              <w:spacing w:before="20" w:after="20"/>
            </w:pPr>
            <w:r>
              <w:rPr>
                <w:sz w:val="18"/>
              </w:rPr>
              <w:t>Docker + Docker Compose</w:t>
            </w:r>
          </w:p>
        </w:tc>
        <w:tc>
          <w:tcPr>
            <w:tcW w:type="dxa" w:w="2340"/>
          </w:tcPr>
          <w:p>
            <w:pPr>
              <w:spacing w:before="20" w:after="20"/>
            </w:pPr>
            <w:r>
              <w:rPr>
                <w:sz w:val="18"/>
              </w:rPr>
              <w:t>Latest</w:t>
            </w:r>
          </w:p>
        </w:tc>
        <w:tc>
          <w:tcPr>
            <w:tcW w:type="dxa" w:w="2340"/>
          </w:tcPr>
          <w:p>
            <w:pPr>
              <w:spacing w:before="20" w:after="20"/>
            </w:pPr>
            <w:r>
              <w:rPr>
                <w:sz w:val="18"/>
              </w:rPr>
              <w:t>Application containerization</w:t>
            </w:r>
          </w:p>
        </w:tc>
      </w:tr>
    </w:tbl>
    <w:p/>
    <w:p>
      <w:pPr>
        <w:pStyle w:val="Heading2"/>
      </w:pPr>
      <w:r>
        <w:t>Appendix B: Environment Configuration</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pPr>
              <w:spacing w:before="20" w:after="20"/>
            </w:pPr>
            <w:r>
              <w:rPr>
                <w:sz w:val="18"/>
              </w:rPr>
              <w:t>Environment</w:t>
            </w:r>
          </w:p>
        </w:tc>
        <w:tc>
          <w:tcPr>
            <w:tcW w:type="dxa" w:w="2340"/>
          </w:tcPr>
          <w:p>
            <w:pPr>
              <w:spacing w:before="20" w:after="20"/>
            </w:pPr>
            <w:r>
              <w:rPr>
                <w:sz w:val="18"/>
              </w:rPr>
              <w:t>Purpose</w:t>
            </w:r>
          </w:p>
        </w:tc>
        <w:tc>
          <w:tcPr>
            <w:tcW w:type="dxa" w:w="2340"/>
          </w:tcPr>
          <w:p>
            <w:pPr>
              <w:spacing w:before="20" w:after="20"/>
            </w:pPr>
            <w:r>
              <w:rPr>
                <w:sz w:val="18"/>
              </w:rPr>
              <w:t>URL Pattern</w:t>
            </w:r>
          </w:p>
        </w:tc>
        <w:tc>
          <w:tcPr>
            <w:tcW w:type="dxa" w:w="2340"/>
          </w:tcPr>
          <w:p>
            <w:pPr>
              <w:spacing w:before="20" w:after="20"/>
            </w:pPr>
            <w:r>
              <w:rPr>
                <w:sz w:val="18"/>
              </w:rPr>
              <w:t>Database</w:t>
            </w:r>
          </w:p>
        </w:tc>
      </w:tr>
      <w:tr>
        <w:tc>
          <w:tcPr>
            <w:tcW w:type="dxa" w:w="2340"/>
          </w:tcPr>
          <w:p>
            <w:pPr>
              <w:spacing w:before="20" w:after="20"/>
            </w:pPr>
            <w:r>
              <w:rPr>
                <w:sz w:val="18"/>
              </w:rPr>
              <w:t>Development</w:t>
            </w:r>
          </w:p>
        </w:tc>
        <w:tc>
          <w:tcPr>
            <w:tcW w:type="dxa" w:w="2340"/>
          </w:tcPr>
          <w:p>
            <w:pPr>
              <w:spacing w:before="20" w:after="20"/>
            </w:pPr>
            <w:r>
              <w:rPr>
                <w:sz w:val="18"/>
              </w:rPr>
              <w:t>Developer workstations</w:t>
            </w:r>
          </w:p>
        </w:tc>
        <w:tc>
          <w:tcPr>
            <w:tcW w:type="dxa" w:w="2340"/>
          </w:tcPr>
          <w:p>
            <w:pPr>
              <w:spacing w:before="20" w:after="20"/>
            </w:pPr>
            <w:r>
              <w:rPr>
                <w:sz w:val="18"/>
              </w:rPr>
              <w:t>http://localhost:3000</w:t>
            </w:r>
          </w:p>
        </w:tc>
        <w:tc>
          <w:tcPr>
            <w:tcW w:type="dxa" w:w="2340"/>
          </w:tcPr>
          <w:p>
            <w:pPr>
              <w:spacing w:before="20" w:after="20"/>
            </w:pPr>
            <w:r>
              <w:rPr>
                <w:sz w:val="18"/>
              </w:rPr>
              <w:t>oig_its (local)</w:t>
            </w:r>
          </w:p>
        </w:tc>
      </w:tr>
      <w:tr>
        <w:tc>
          <w:tcPr>
            <w:tcW w:type="dxa" w:w="2340"/>
          </w:tcPr>
          <w:p>
            <w:pPr>
              <w:spacing w:before="20" w:after="20"/>
            </w:pPr>
            <w:r>
              <w:rPr>
                <w:sz w:val="18"/>
              </w:rPr>
              <w:t>Staging</w:t>
            </w:r>
          </w:p>
        </w:tc>
        <w:tc>
          <w:tcPr>
            <w:tcW w:type="dxa" w:w="2340"/>
          </w:tcPr>
          <w:p>
            <w:pPr>
              <w:spacing w:before="20" w:after="20"/>
            </w:pPr>
            <w:r>
              <w:rPr>
                <w:sz w:val="18"/>
              </w:rPr>
              <w:t>Pre-production testing</w:t>
            </w:r>
          </w:p>
        </w:tc>
        <w:tc>
          <w:tcPr>
            <w:tcW w:type="dxa" w:w="2340"/>
          </w:tcPr>
          <w:p>
            <w:pPr>
              <w:spacing w:before="20" w:after="20"/>
            </w:pPr>
            <w:r>
              <w:rPr>
                <w:sz w:val="18"/>
              </w:rPr>
              <w:t>https://oig-its-staging.agency.gov</w:t>
            </w:r>
          </w:p>
        </w:tc>
        <w:tc>
          <w:tcPr>
            <w:tcW w:type="dxa" w:w="2340"/>
          </w:tcPr>
          <w:p>
            <w:pPr>
              <w:spacing w:before="20" w:after="20"/>
            </w:pPr>
            <w:r>
              <w:rPr>
                <w:sz w:val="18"/>
              </w:rPr>
              <w:t>oig_its_staging</w:t>
            </w:r>
          </w:p>
        </w:tc>
      </w:tr>
      <w:tr>
        <w:tc>
          <w:tcPr>
            <w:tcW w:type="dxa" w:w="2340"/>
          </w:tcPr>
          <w:p>
            <w:pPr>
              <w:spacing w:before="20" w:after="20"/>
            </w:pPr>
            <w:r>
              <w:rPr>
                <w:sz w:val="18"/>
              </w:rPr>
              <w:t>Production</w:t>
            </w:r>
          </w:p>
        </w:tc>
        <w:tc>
          <w:tcPr>
            <w:tcW w:type="dxa" w:w="2340"/>
          </w:tcPr>
          <w:p>
            <w:pPr>
              <w:spacing w:before="20" w:after="20"/>
            </w:pPr>
            <w:r>
              <w:rPr>
                <w:sz w:val="18"/>
              </w:rPr>
              <w:t>Live operations</w:t>
            </w:r>
          </w:p>
        </w:tc>
        <w:tc>
          <w:tcPr>
            <w:tcW w:type="dxa" w:w="2340"/>
          </w:tcPr>
          <w:p>
            <w:pPr>
              <w:spacing w:before="20" w:after="20"/>
            </w:pPr>
            <w:r>
              <w:rPr>
                <w:sz w:val="18"/>
              </w:rPr>
              <w:t>https://oig-its.agency.gov</w:t>
            </w:r>
          </w:p>
        </w:tc>
        <w:tc>
          <w:tcPr>
            <w:tcW w:type="dxa" w:w="2340"/>
          </w:tcPr>
          <w:p>
            <w:pPr>
              <w:spacing w:before="20" w:after="20"/>
            </w:pPr>
            <w:r>
              <w:rPr>
                <w:sz w:val="18"/>
              </w:rPr>
              <w:t>oig_its_prod</w:t>
            </w:r>
          </w:p>
        </w:tc>
      </w:tr>
    </w:tbl>
    <w:p/>
    <w:p>
      <w:pPr>
        <w:spacing w:after="80"/>
      </w:pPr>
      <w:r>
        <w:t>Required Environment Variables:</w:t>
      </w:r>
    </w:p>
    <w:p>
      <w:pPr>
        <w:pStyle w:val="ListBullet"/>
        <w:spacing w:before="20" w:after="20"/>
      </w:pPr>
      <w:r>
        <w:t>DATABASE_URL — PostgreSQL connection string</w:t>
      </w:r>
    </w:p>
    <w:p>
      <w:pPr>
        <w:pStyle w:val="ListBullet"/>
        <w:spacing w:before="20" w:after="20"/>
      </w:pPr>
      <w:r>
        <w:t>NEXTAUTH_SECRET — Authentication session encryption key</w:t>
      </w:r>
    </w:p>
    <w:p>
      <w:pPr>
        <w:pStyle w:val="ListBullet"/>
        <w:spacing w:before="20" w:after="20"/>
      </w:pPr>
      <w:r>
        <w:t>NEXTAUTH_URL — Application base URL</w:t>
      </w:r>
    </w:p>
    <w:p>
      <w:pPr>
        <w:pStyle w:val="ListBullet"/>
        <w:spacing w:before="20" w:after="20"/>
      </w:pPr>
      <w:r>
        <w:t>MEILISEARCH_HOST — MeiliSearch service URL</w:t>
      </w:r>
    </w:p>
    <w:p>
      <w:pPr>
        <w:pStyle w:val="ListBullet"/>
        <w:spacing w:before="20" w:after="20"/>
      </w:pPr>
      <w:r>
        <w:t>MEILI_MASTER_KEY — MeiliSearch authentication key</w:t>
      </w:r>
    </w:p>
    <w:p>
      <w:pPr>
        <w:pStyle w:val="ListBullet"/>
        <w:spacing w:before="20" w:after="20"/>
      </w:pPr>
      <w:r>
        <w:t>S3_ENDPOINT — MinIO service URL</w:t>
      </w:r>
    </w:p>
    <w:p>
      <w:pPr>
        <w:pStyle w:val="ListBullet"/>
        <w:spacing w:before="20" w:after="20"/>
      </w:pPr>
      <w:r>
        <w:t>S3_ACCESS_KEY — MinIO access credentials</w:t>
      </w:r>
    </w:p>
    <w:p>
      <w:pPr>
        <w:pStyle w:val="ListBullet"/>
        <w:spacing w:before="20" w:after="20"/>
      </w:pPr>
      <w:r>
        <w:t>S3_SECRET_KEY — MinIO secret credentials</w:t>
      </w:r>
    </w:p>
    <w:p>
      <w:pPr>
        <w:pStyle w:val="ListBullet"/>
        <w:spacing w:before="20" w:after="20"/>
      </w:pPr>
      <w:r>
        <w:t>S3_BUCKET — Default storage bucket name</w:t>
      </w:r>
    </w:p>
    <w:p>
      <w:pPr>
        <w:pStyle w:val="ListBullet"/>
        <w:spacing w:before="20" w:after="20"/>
      </w:pPr>
      <w:r>
        <w:t>REDIS_URL — Redis connection string</w:t>
      </w:r>
    </w:p>
    <w:p>
      <w:pPr>
        <w:pStyle w:val="ListBullet"/>
        <w:spacing w:before="20" w:after="20"/>
      </w:pPr>
      <w:r>
        <w:t>SMTP_HOST — Email server hostname</w:t>
      </w:r>
    </w:p>
    <w:p>
      <w:pPr>
        <w:pStyle w:val="ListBullet"/>
        <w:spacing w:before="20" w:after="20"/>
      </w:pPr>
      <w:r>
        <w:t>SMTP_PORT — Email server port</w:t>
      </w:r>
    </w:p>
    <w:p>
      <w:pPr>
        <w:pStyle w:val="ListBullet"/>
        <w:spacing w:before="20" w:after="20"/>
      </w:pPr>
      <w:r>
        <w:t>SMTP_USER — Email server credentials</w:t>
      </w:r>
    </w:p>
    <w:p>
      <w:pPr>
        <w:pStyle w:val="ListBullet"/>
        <w:spacing w:before="20" w:after="20"/>
      </w:pPr>
      <w:r>
        <w:t>SMTP_PASS — Email server password</w:t>
      </w:r>
    </w:p>
    <w:p>
      <w:pPr>
        <w:pStyle w:val="ListBullet"/>
        <w:spacing w:before="20" w:after="20"/>
      </w:pPr>
      <w:r>
        <w:t>ANTHROPIC_API_KEY — Anthropic Claude API key for AI features</w:t>
      </w:r>
    </w:p>
    <w:p>
      <w:pPr>
        <w:pStyle w:val="Heading2"/>
      </w:pPr>
      <w:r>
        <w:t>Appendix C: API Endpoint Inventory</w:t>
      </w:r>
    </w:p>
    <w:p>
      <w:pPr>
        <w:spacing w:after="80"/>
      </w:pPr>
      <w:r>
        <w:t>OIG-ITS exposes 96 API endpoints organized by functional domain:</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spacing w:before="20" w:after="20"/>
            </w:pPr>
            <w:r>
              <w:rPr>
                <w:sz w:val="18"/>
              </w:rPr>
              <w:t>Domain</w:t>
            </w:r>
          </w:p>
        </w:tc>
        <w:tc>
          <w:tcPr>
            <w:tcW w:type="dxa" w:w="3120"/>
          </w:tcPr>
          <w:p>
            <w:pPr>
              <w:spacing w:before="20" w:after="20"/>
            </w:pPr>
            <w:r>
              <w:rPr>
                <w:sz w:val="18"/>
              </w:rPr>
              <w:t>Endpoints</w:t>
            </w:r>
          </w:p>
        </w:tc>
        <w:tc>
          <w:tcPr>
            <w:tcW w:type="dxa" w:w="3120"/>
          </w:tcPr>
          <w:p>
            <w:pPr>
              <w:spacing w:before="20" w:after="20"/>
            </w:pPr>
            <w:r>
              <w:rPr>
                <w:sz w:val="18"/>
              </w:rPr>
              <w:t>Key Routes</w:t>
            </w:r>
          </w:p>
        </w:tc>
      </w:tr>
      <w:tr>
        <w:tc>
          <w:tcPr>
            <w:tcW w:type="dxa" w:w="3120"/>
          </w:tcPr>
          <w:p>
            <w:pPr>
              <w:spacing w:before="20" w:after="20"/>
            </w:pPr>
            <w:r>
              <w:rPr>
                <w:sz w:val="18"/>
              </w:rPr>
              <w:t>Authentication</w:t>
            </w:r>
          </w:p>
        </w:tc>
        <w:tc>
          <w:tcPr>
            <w:tcW w:type="dxa" w:w="3120"/>
          </w:tcPr>
          <w:p>
            <w:pPr>
              <w:spacing w:before="20" w:after="20"/>
            </w:pPr>
            <w:r>
              <w:rPr>
                <w:sz w:val="18"/>
              </w:rPr>
              <w:t>3</w:t>
            </w:r>
          </w:p>
        </w:tc>
        <w:tc>
          <w:tcPr>
            <w:tcW w:type="dxa" w:w="3120"/>
          </w:tcPr>
          <w:p>
            <w:pPr>
              <w:spacing w:before="20" w:after="20"/>
            </w:pPr>
            <w:r>
              <w:rPr>
                <w:sz w:val="18"/>
              </w:rPr>
              <w:t>/api/auth/[...nextauth], /api/auth/reset-password</w:t>
            </w:r>
          </w:p>
        </w:tc>
      </w:tr>
      <w:tr>
        <w:tc>
          <w:tcPr>
            <w:tcW w:type="dxa" w:w="3120"/>
          </w:tcPr>
          <w:p>
            <w:pPr>
              <w:spacing w:before="20" w:after="20"/>
            </w:pPr>
            <w:r>
              <w:rPr>
                <w:sz w:val="18"/>
              </w:rPr>
              <w:t>Cases</w:t>
            </w:r>
          </w:p>
        </w:tc>
        <w:tc>
          <w:tcPr>
            <w:tcW w:type="dxa" w:w="3120"/>
          </w:tcPr>
          <w:p>
            <w:pPr>
              <w:spacing w:before="20" w:after="20"/>
            </w:pPr>
            <w:r>
              <w:rPr>
                <w:sz w:val="18"/>
              </w:rPr>
              <w:t>14</w:t>
            </w:r>
          </w:p>
        </w:tc>
        <w:tc>
          <w:tcPr>
            <w:tcW w:type="dxa" w:w="3120"/>
          </w:tcPr>
          <w:p>
            <w:pPr>
              <w:spacing w:before="20" w:after="20"/>
            </w:pPr>
            <w:r>
              <w:rPr>
                <w:sz w:val="18"/>
              </w:rPr>
              <w:t>/api/cases, /api/cases/[caseId], /api/cases/export, and sub-resources (tasks, documents, notes, violations, financial-results, techniques, referrals, subject-actions, timeline, relationships, evidence, checklist, subjects, subpoenas, field-permissions, report)</w:t>
            </w:r>
          </w:p>
        </w:tc>
      </w:tr>
      <w:tr>
        <w:tc>
          <w:tcPr>
            <w:tcW w:type="dxa" w:w="3120"/>
          </w:tcPr>
          <w:p>
            <w:pPr>
              <w:spacing w:before="20" w:after="20"/>
            </w:pPr>
            <w:r>
              <w:rPr>
                <w:sz w:val="18"/>
              </w:rPr>
              <w:t>Subjects</w:t>
            </w:r>
          </w:p>
        </w:tc>
        <w:tc>
          <w:tcPr>
            <w:tcW w:type="dxa" w:w="3120"/>
          </w:tcPr>
          <w:p>
            <w:pPr>
              <w:spacing w:before="20" w:after="20"/>
            </w:pPr>
            <w:r>
              <w:rPr>
                <w:sz w:val="18"/>
              </w:rPr>
              <w:t>2</w:t>
            </w:r>
          </w:p>
        </w:tc>
        <w:tc>
          <w:tcPr>
            <w:tcW w:type="dxa" w:w="3120"/>
          </w:tcPr>
          <w:p>
            <w:pPr>
              <w:spacing w:before="20" w:after="20"/>
            </w:pPr>
            <w:r>
              <w:rPr>
                <w:sz w:val="18"/>
              </w:rPr>
              <w:t>/api/subjects, /api/subjects/export</w:t>
            </w:r>
          </w:p>
        </w:tc>
      </w:tr>
      <w:tr>
        <w:tc>
          <w:tcPr>
            <w:tcW w:type="dxa" w:w="3120"/>
          </w:tcPr>
          <w:p>
            <w:pPr>
              <w:spacing w:before="20" w:after="20"/>
            </w:pPr>
            <w:r>
              <w:rPr>
                <w:sz w:val="18"/>
              </w:rPr>
              <w:t>Documents</w:t>
            </w:r>
          </w:p>
        </w:tc>
        <w:tc>
          <w:tcPr>
            <w:tcW w:type="dxa" w:w="3120"/>
          </w:tcPr>
          <w:p>
            <w:pPr>
              <w:spacing w:before="20" w:after="20"/>
            </w:pPr>
            <w:r>
              <w:rPr>
                <w:sz w:val="18"/>
              </w:rPr>
              <w:t>4</w:t>
            </w:r>
          </w:p>
        </w:tc>
        <w:tc>
          <w:tcPr>
            <w:tcW w:type="dxa" w:w="3120"/>
          </w:tcPr>
          <w:p>
            <w:pPr>
              <w:spacing w:before="20" w:after="20"/>
            </w:pPr>
            <w:r>
              <w:rPr>
                <w:sz w:val="18"/>
              </w:rPr>
              <w:t>/api/cases/[caseId]/documents, download, approve, from-template</w:t>
            </w:r>
          </w:p>
        </w:tc>
      </w:tr>
      <w:tr>
        <w:tc>
          <w:tcPr>
            <w:tcW w:type="dxa" w:w="3120"/>
          </w:tcPr>
          <w:p>
            <w:pPr>
              <w:spacing w:before="20" w:after="20"/>
            </w:pPr>
            <w:r>
              <w:rPr>
                <w:sz w:val="18"/>
              </w:rPr>
              <w:t>Import</w:t>
            </w:r>
          </w:p>
        </w:tc>
        <w:tc>
          <w:tcPr>
            <w:tcW w:type="dxa" w:w="3120"/>
          </w:tcPr>
          <w:p>
            <w:pPr>
              <w:spacing w:before="20" w:after="20"/>
            </w:pPr>
            <w:r>
              <w:rPr>
                <w:sz w:val="18"/>
              </w:rPr>
              <w:t>2</w:t>
            </w:r>
          </w:p>
        </w:tc>
        <w:tc>
          <w:tcPr>
            <w:tcW w:type="dxa" w:w="3120"/>
          </w:tcPr>
          <w:p>
            <w:pPr>
              <w:spacing w:before="20" w:after="20"/>
            </w:pPr>
            <w:r>
              <w:rPr>
                <w:sz w:val="18"/>
              </w:rPr>
              <w:t>/api/import/cases, /api/import/documents</w:t>
            </w:r>
          </w:p>
        </w:tc>
      </w:tr>
      <w:tr>
        <w:tc>
          <w:tcPr>
            <w:tcW w:type="dxa" w:w="3120"/>
          </w:tcPr>
          <w:p>
            <w:pPr>
              <w:spacing w:before="20" w:after="20"/>
            </w:pPr>
            <w:r>
              <w:rPr>
                <w:sz w:val="18"/>
              </w:rPr>
              <w:t>Workflows</w:t>
            </w:r>
          </w:p>
        </w:tc>
        <w:tc>
          <w:tcPr>
            <w:tcW w:type="dxa" w:w="3120"/>
          </w:tcPr>
          <w:p>
            <w:pPr>
              <w:spacing w:before="20" w:after="20"/>
            </w:pPr>
            <w:r>
              <w:rPr>
                <w:sz w:val="18"/>
              </w:rPr>
              <w:t>2</w:t>
            </w:r>
          </w:p>
        </w:tc>
        <w:tc>
          <w:tcPr>
            <w:tcW w:type="dxa" w:w="3120"/>
          </w:tcPr>
          <w:p>
            <w:pPr>
              <w:spacing w:before="20" w:after="20"/>
            </w:pPr>
            <w:r>
              <w:rPr>
                <w:sz w:val="18"/>
              </w:rPr>
              <w:t>/api/workflows, /api/workflows/[instanceId]/action</w:t>
            </w:r>
          </w:p>
        </w:tc>
      </w:tr>
      <w:tr>
        <w:tc>
          <w:tcPr>
            <w:tcW w:type="dxa" w:w="3120"/>
          </w:tcPr>
          <w:p>
            <w:pPr>
              <w:spacing w:before="20" w:after="20"/>
            </w:pPr>
            <w:r>
              <w:rPr>
                <w:sz w:val="18"/>
              </w:rPr>
              <w:t>Users</w:t>
            </w:r>
          </w:p>
        </w:tc>
        <w:tc>
          <w:tcPr>
            <w:tcW w:type="dxa" w:w="3120"/>
          </w:tcPr>
          <w:p>
            <w:pPr>
              <w:spacing w:before="20" w:after="20"/>
            </w:pPr>
            <w:r>
              <w:rPr>
                <w:sz w:val="18"/>
              </w:rPr>
              <w:t>1</w:t>
            </w:r>
          </w:p>
        </w:tc>
        <w:tc>
          <w:tcPr>
            <w:tcW w:type="dxa" w:w="3120"/>
          </w:tcPr>
          <w:p>
            <w:pPr>
              <w:spacing w:before="20" w:after="20"/>
            </w:pPr>
            <w:r>
              <w:rPr>
                <w:sz w:val="18"/>
              </w:rPr>
              <w:t>/api/users</w:t>
            </w:r>
          </w:p>
        </w:tc>
      </w:tr>
      <w:tr>
        <w:tc>
          <w:tcPr>
            <w:tcW w:type="dxa" w:w="3120"/>
          </w:tcPr>
          <w:p>
            <w:pPr>
              <w:spacing w:before="20" w:after="20"/>
            </w:pPr>
            <w:r>
              <w:rPr>
                <w:sz w:val="18"/>
              </w:rPr>
              <w:t>Tasks</w:t>
            </w:r>
          </w:p>
        </w:tc>
        <w:tc>
          <w:tcPr>
            <w:tcW w:type="dxa" w:w="3120"/>
          </w:tcPr>
          <w:p>
            <w:pPr>
              <w:spacing w:before="20" w:after="20"/>
            </w:pPr>
            <w:r>
              <w:rPr>
                <w:sz w:val="18"/>
              </w:rPr>
              <w:t>1</w:t>
            </w:r>
          </w:p>
        </w:tc>
        <w:tc>
          <w:tcPr>
            <w:tcW w:type="dxa" w:w="3120"/>
          </w:tcPr>
          <w:p>
            <w:pPr>
              <w:spacing w:before="20" w:after="20"/>
            </w:pPr>
            <w:r>
              <w:rPr>
                <w:sz w:val="18"/>
              </w:rPr>
              <w:t>/api/tasks</w:t>
            </w:r>
          </w:p>
        </w:tc>
      </w:tr>
      <w:tr>
        <w:tc>
          <w:tcPr>
            <w:tcW w:type="dxa" w:w="3120"/>
          </w:tcPr>
          <w:p>
            <w:pPr>
              <w:spacing w:before="20" w:after="20"/>
            </w:pPr>
            <w:r>
              <w:rPr>
                <w:sz w:val="18"/>
              </w:rPr>
              <w:t>Notifications</w:t>
            </w:r>
          </w:p>
        </w:tc>
        <w:tc>
          <w:tcPr>
            <w:tcW w:type="dxa" w:w="3120"/>
          </w:tcPr>
          <w:p>
            <w:pPr>
              <w:spacing w:before="20" w:after="20"/>
            </w:pPr>
            <w:r>
              <w:rPr>
                <w:sz w:val="18"/>
              </w:rPr>
              <w:t>1</w:t>
            </w:r>
          </w:p>
        </w:tc>
        <w:tc>
          <w:tcPr>
            <w:tcW w:type="dxa" w:w="3120"/>
          </w:tcPr>
          <w:p>
            <w:pPr>
              <w:spacing w:before="20" w:after="20"/>
            </w:pPr>
            <w:r>
              <w:rPr>
                <w:sz w:val="18"/>
              </w:rPr>
              <w:t>/api/notifications</w:t>
            </w:r>
          </w:p>
        </w:tc>
      </w:tr>
      <w:tr>
        <w:tc>
          <w:tcPr>
            <w:tcW w:type="dxa" w:w="3120"/>
          </w:tcPr>
          <w:p>
            <w:pPr>
              <w:spacing w:before="20" w:after="20"/>
            </w:pPr>
            <w:r>
              <w:rPr>
                <w:sz w:val="18"/>
              </w:rPr>
              <w:t>Settings</w:t>
            </w:r>
          </w:p>
        </w:tc>
        <w:tc>
          <w:tcPr>
            <w:tcW w:type="dxa" w:w="3120"/>
          </w:tcPr>
          <w:p>
            <w:pPr>
              <w:spacing w:before="20" w:after="20"/>
            </w:pPr>
            <w:r>
              <w:rPr>
                <w:sz w:val="18"/>
              </w:rPr>
              <w:t>1</w:t>
            </w:r>
          </w:p>
        </w:tc>
        <w:tc>
          <w:tcPr>
            <w:tcW w:type="dxa" w:w="3120"/>
          </w:tcPr>
          <w:p>
            <w:pPr>
              <w:spacing w:before="20" w:after="20"/>
            </w:pPr>
            <w:r>
              <w:rPr>
                <w:sz w:val="18"/>
              </w:rPr>
              <w:t>/api/settings</w:t>
            </w:r>
          </w:p>
        </w:tc>
      </w:tr>
      <w:tr>
        <w:tc>
          <w:tcPr>
            <w:tcW w:type="dxa" w:w="3120"/>
          </w:tcPr>
          <w:p>
            <w:pPr>
              <w:spacing w:before="20" w:after="20"/>
            </w:pPr>
            <w:r>
              <w:rPr>
                <w:sz w:val="18"/>
              </w:rPr>
              <w:t>Reports</w:t>
            </w:r>
          </w:p>
        </w:tc>
        <w:tc>
          <w:tcPr>
            <w:tcW w:type="dxa" w:w="3120"/>
          </w:tcPr>
          <w:p>
            <w:pPr>
              <w:spacing w:before="20" w:after="20"/>
            </w:pPr>
            <w:r>
              <w:rPr>
                <w:sz w:val="18"/>
              </w:rPr>
              <w:t>4</w:t>
            </w:r>
          </w:p>
        </w:tc>
        <w:tc>
          <w:tcPr>
            <w:tcW w:type="dxa" w:w="3120"/>
          </w:tcPr>
          <w:p>
            <w:pPr>
              <w:spacing w:before="20" w:after="20"/>
            </w:pPr>
            <w:r>
              <w:rPr>
                <w:sz w:val="18"/>
              </w:rPr>
              <w:t>/api/reports, run, seed-defaults, run-scheduled, review</w:t>
            </w:r>
          </w:p>
        </w:tc>
      </w:tr>
      <w:tr>
        <w:tc>
          <w:tcPr>
            <w:tcW w:type="dxa" w:w="3120"/>
          </w:tcPr>
          <w:p>
            <w:pPr>
              <w:spacing w:before="20" w:after="20"/>
            </w:pPr>
            <w:r>
              <w:rPr>
                <w:sz w:val="18"/>
              </w:rPr>
              <w:t>Analytics</w:t>
            </w:r>
          </w:p>
        </w:tc>
        <w:tc>
          <w:tcPr>
            <w:tcW w:type="dxa" w:w="3120"/>
          </w:tcPr>
          <w:p>
            <w:pPr>
              <w:spacing w:before="20" w:after="20"/>
            </w:pPr>
            <w:r>
              <w:rPr>
                <w:sz w:val="18"/>
              </w:rPr>
              <w:t>2</w:t>
            </w:r>
          </w:p>
        </w:tc>
        <w:tc>
          <w:tcPr>
            <w:tcW w:type="dxa" w:w="3120"/>
          </w:tcPr>
          <w:p>
            <w:pPr>
              <w:spacing w:before="20" w:after="20"/>
            </w:pPr>
            <w:r>
              <w:rPr>
                <w:sz w:val="18"/>
              </w:rPr>
              <w:t>/api/analytics, /api/analytics/financial</w:t>
            </w:r>
          </w:p>
        </w:tc>
      </w:tr>
      <w:tr>
        <w:tc>
          <w:tcPr>
            <w:tcW w:type="dxa" w:w="3120"/>
          </w:tcPr>
          <w:p>
            <w:pPr>
              <w:spacing w:before="20" w:after="20"/>
            </w:pPr>
            <w:r>
              <w:rPr>
                <w:sz w:val="18"/>
              </w:rPr>
              <w:t>Search</w:t>
            </w:r>
          </w:p>
        </w:tc>
        <w:tc>
          <w:tcPr>
            <w:tcW w:type="dxa" w:w="3120"/>
          </w:tcPr>
          <w:p>
            <w:pPr>
              <w:spacing w:before="20" w:after="20"/>
            </w:pPr>
            <w:r>
              <w:rPr>
                <w:sz w:val="18"/>
              </w:rPr>
              <w:t>2</w:t>
            </w:r>
          </w:p>
        </w:tc>
        <w:tc>
          <w:tcPr>
            <w:tcW w:type="dxa" w:w="3120"/>
          </w:tcPr>
          <w:p>
            <w:pPr>
              <w:spacing w:before="20" w:after="20"/>
            </w:pPr>
            <w:r>
              <w:rPr>
                <w:sz w:val="18"/>
              </w:rPr>
              <w:t>/api/search, /api/saved-searches</w:t>
            </w:r>
          </w:p>
        </w:tc>
      </w:tr>
      <w:tr>
        <w:tc>
          <w:tcPr>
            <w:tcW w:type="dxa" w:w="3120"/>
          </w:tcPr>
          <w:p>
            <w:pPr>
              <w:spacing w:before="20" w:after="20"/>
            </w:pPr>
            <w:r>
              <w:rPr>
                <w:sz w:val="18"/>
              </w:rPr>
              <w:t>Audit Logs</w:t>
            </w:r>
          </w:p>
        </w:tc>
        <w:tc>
          <w:tcPr>
            <w:tcW w:type="dxa" w:w="3120"/>
          </w:tcPr>
          <w:p>
            <w:pPr>
              <w:spacing w:before="20" w:after="20"/>
            </w:pPr>
            <w:r>
              <w:rPr>
                <w:sz w:val="18"/>
              </w:rPr>
              <w:t>1</w:t>
            </w:r>
          </w:p>
        </w:tc>
        <w:tc>
          <w:tcPr>
            <w:tcW w:type="dxa" w:w="3120"/>
          </w:tcPr>
          <w:p>
            <w:pPr>
              <w:spacing w:before="20" w:after="20"/>
            </w:pPr>
            <w:r>
              <w:rPr>
                <w:sz w:val="18"/>
              </w:rPr>
              <w:t>/api/audit-logs</w:t>
            </w:r>
          </w:p>
        </w:tc>
      </w:tr>
      <w:tr>
        <w:tc>
          <w:tcPr>
            <w:tcW w:type="dxa" w:w="3120"/>
          </w:tcPr>
          <w:p>
            <w:pPr>
              <w:spacing w:before="20" w:after="20"/>
            </w:pPr>
            <w:r>
              <w:rPr>
                <w:sz w:val="18"/>
              </w:rPr>
              <w:t>Calendar</w:t>
            </w:r>
          </w:p>
        </w:tc>
        <w:tc>
          <w:tcPr>
            <w:tcW w:type="dxa" w:w="3120"/>
          </w:tcPr>
          <w:p>
            <w:pPr>
              <w:spacing w:before="20" w:after="20"/>
            </w:pPr>
            <w:r>
              <w:rPr>
                <w:sz w:val="18"/>
              </w:rPr>
              <w:t>2</w:t>
            </w:r>
          </w:p>
        </w:tc>
        <w:tc>
          <w:tcPr>
            <w:tcW w:type="dxa" w:w="3120"/>
          </w:tcPr>
          <w:p>
            <w:pPr>
              <w:spacing w:before="20" w:after="20"/>
            </w:pPr>
            <w:r>
              <w:rPr>
                <w:sz w:val="18"/>
              </w:rPr>
              <w:t>/api/calendar, /api/calendar/check-reminders</w:t>
            </w:r>
          </w:p>
        </w:tc>
      </w:tr>
      <w:tr>
        <w:tc>
          <w:tcPr>
            <w:tcW w:type="dxa" w:w="3120"/>
          </w:tcPr>
          <w:p>
            <w:pPr>
              <w:spacing w:before="20" w:after="20"/>
            </w:pPr>
            <w:r>
              <w:rPr>
                <w:sz w:val="18"/>
              </w:rPr>
              <w:t>Inventory</w:t>
            </w:r>
          </w:p>
        </w:tc>
        <w:tc>
          <w:tcPr>
            <w:tcW w:type="dxa" w:w="3120"/>
          </w:tcPr>
          <w:p>
            <w:pPr>
              <w:spacing w:before="20" w:after="20"/>
            </w:pPr>
            <w:r>
              <w:rPr>
                <w:sz w:val="18"/>
              </w:rPr>
              <w:t>1</w:t>
            </w:r>
          </w:p>
        </w:tc>
        <w:tc>
          <w:tcPr>
            <w:tcW w:type="dxa" w:w="3120"/>
          </w:tcPr>
          <w:p>
            <w:pPr>
              <w:spacing w:before="20" w:after="20"/>
            </w:pPr>
            <w:r>
              <w:rPr>
                <w:sz w:val="18"/>
              </w:rPr>
              <w:t>/api/inventory</w:t>
            </w:r>
          </w:p>
        </w:tc>
      </w:tr>
      <w:tr>
        <w:tc>
          <w:tcPr>
            <w:tcW w:type="dxa" w:w="3120"/>
          </w:tcPr>
          <w:p>
            <w:pPr>
              <w:spacing w:before="20" w:after="20"/>
            </w:pPr>
            <w:r>
              <w:rPr>
                <w:sz w:val="18"/>
              </w:rPr>
              <w:t>Time Tracking</w:t>
            </w:r>
          </w:p>
        </w:tc>
        <w:tc>
          <w:tcPr>
            <w:tcW w:type="dxa" w:w="3120"/>
          </w:tcPr>
          <w:p>
            <w:pPr>
              <w:spacing w:before="20" w:after="20"/>
            </w:pPr>
            <w:r>
              <w:rPr>
                <w:sz w:val="18"/>
              </w:rPr>
              <w:t>2</w:t>
            </w:r>
          </w:p>
        </w:tc>
        <w:tc>
          <w:tcPr>
            <w:tcW w:type="dxa" w:w="3120"/>
          </w:tcPr>
          <w:p>
            <w:pPr>
              <w:spacing w:before="20" w:after="20"/>
            </w:pPr>
            <w:r>
              <w:rPr>
                <w:sz w:val="18"/>
              </w:rPr>
              <w:t>/api/time-entries, /api/timesheets</w:t>
            </w:r>
          </w:p>
        </w:tc>
      </w:tr>
      <w:tr>
        <w:tc>
          <w:tcPr>
            <w:tcW w:type="dxa" w:w="3120"/>
          </w:tcPr>
          <w:p>
            <w:pPr>
              <w:spacing w:before="20" w:after="20"/>
            </w:pPr>
            <w:r>
              <w:rPr>
                <w:sz w:val="18"/>
              </w:rPr>
              <w:t>Training</w:t>
            </w:r>
          </w:p>
        </w:tc>
        <w:tc>
          <w:tcPr>
            <w:tcW w:type="dxa" w:w="3120"/>
          </w:tcPr>
          <w:p>
            <w:pPr>
              <w:spacing w:before="20" w:after="20"/>
            </w:pPr>
            <w:r>
              <w:rPr>
                <w:sz w:val="18"/>
              </w:rPr>
              <w:t>6</w:t>
            </w:r>
          </w:p>
        </w:tc>
        <w:tc>
          <w:tcPr>
            <w:tcW w:type="dxa" w:w="3120"/>
          </w:tcPr>
          <w:p>
            <w:pPr>
              <w:spacing w:before="20" w:after="20"/>
            </w:pPr>
            <w:r>
              <w:rPr>
                <w:sz w:val="18"/>
              </w:rPr>
              <w:t>/api/training/courses, records, assignments, analytics, evaluations, export, check-expirations</w:t>
            </w:r>
          </w:p>
        </w:tc>
      </w:tr>
      <w:tr>
        <w:tc>
          <w:tcPr>
            <w:tcW w:type="dxa" w:w="3120"/>
          </w:tcPr>
          <w:p>
            <w:pPr>
              <w:spacing w:before="20" w:after="20"/>
            </w:pPr>
            <w:r>
              <w:rPr>
                <w:sz w:val="18"/>
              </w:rPr>
              <w:t>Inquiries</w:t>
            </w:r>
          </w:p>
        </w:tc>
        <w:tc>
          <w:tcPr>
            <w:tcW w:type="dxa" w:w="3120"/>
          </w:tcPr>
          <w:p>
            <w:pPr>
              <w:spacing w:before="20" w:after="20"/>
            </w:pPr>
            <w:r>
              <w:rPr>
                <w:sz w:val="18"/>
              </w:rPr>
              <w:t>3</w:t>
            </w:r>
          </w:p>
        </w:tc>
        <w:tc>
          <w:tcPr>
            <w:tcW w:type="dxa" w:w="3120"/>
          </w:tcPr>
          <w:p>
            <w:pPr>
              <w:spacing w:before="20" w:after="20"/>
            </w:pPr>
            <w:r>
              <w:rPr>
                <w:sz w:val="18"/>
              </w:rPr>
              <w:t>/api/inquiries, /api/inquiries/[id], convert</w:t>
            </w:r>
          </w:p>
        </w:tc>
      </w:tr>
      <w:tr>
        <w:tc>
          <w:tcPr>
            <w:tcW w:type="dxa" w:w="3120"/>
          </w:tcPr>
          <w:p>
            <w:pPr>
              <w:spacing w:before="20" w:after="20"/>
            </w:pPr>
            <w:r>
              <w:rPr>
                <w:sz w:val="18"/>
              </w:rPr>
              <w:t>Admin</w:t>
            </w:r>
          </w:p>
        </w:tc>
        <w:tc>
          <w:tcPr>
            <w:tcW w:type="dxa" w:w="3120"/>
          </w:tcPr>
          <w:p>
            <w:pPr>
              <w:spacing w:before="20" w:after="20"/>
            </w:pPr>
            <w:r>
              <w:rPr>
                <w:sz w:val="18"/>
              </w:rPr>
              <w:t>5</w:t>
            </w:r>
          </w:p>
        </w:tc>
        <w:tc>
          <w:tcPr>
            <w:tcW w:type="dxa" w:w="3120"/>
          </w:tcPr>
          <w:p>
            <w:pPr>
              <w:spacing w:before="20" w:after="20"/>
            </w:pPr>
            <w:r>
              <w:rPr>
                <w:sz w:val="18"/>
              </w:rPr>
              <w:t>/api/admin/retention, filing-rules, routing-rules, exceptions, field-labels, data-dictionary</w:t>
            </w:r>
          </w:p>
        </w:tc>
      </w:tr>
      <w:tr>
        <w:tc>
          <w:tcPr>
            <w:tcW w:type="dxa" w:w="3120"/>
          </w:tcPr>
          <w:p>
            <w:pPr>
              <w:spacing w:before="20" w:after="20"/>
            </w:pPr>
            <w:r>
              <w:rPr>
                <w:sz w:val="18"/>
              </w:rPr>
              <w:t>AI Intelligence</w:t>
            </w:r>
          </w:p>
        </w:tc>
        <w:tc>
          <w:tcPr>
            <w:tcW w:type="dxa" w:w="3120"/>
          </w:tcPr>
          <w:p>
            <w:pPr>
              <w:spacing w:before="20" w:after="20"/>
            </w:pPr>
            <w:r>
              <w:rPr>
                <w:sz w:val="18"/>
              </w:rPr>
              <w:t>17</w:t>
            </w:r>
          </w:p>
        </w:tc>
        <w:tc>
          <w:tcPr>
            <w:tcW w:type="dxa" w:w="3120"/>
          </w:tcPr>
          <w:p>
            <w:pPr>
              <w:spacing w:before="20" w:after="20"/>
            </w:pPr>
            <w:r>
              <w:rPr>
                <w:sz w:val="18"/>
              </w:rPr>
              <w:t>/api/ai/risk-score, predictions, similar-cases, duplicate-subjects, classify-document, anomalies, network, clusters, complaint-dedup, recommend-investigator, escalations, evidence-strength, timeline-anomalies, closure-readiness, workload, financial-patterns, subject-risk, case-narrative, natural-search, analyze-document, interview-questions, generate-report</w:t>
            </w:r>
          </w:p>
        </w:tc>
      </w:tr>
      <w:tr>
        <w:tc>
          <w:tcPr>
            <w:tcW w:type="dxa" w:w="3120"/>
          </w:tcPr>
          <w:p>
            <w:pPr>
              <w:spacing w:before="20" w:after="20"/>
            </w:pPr>
            <w:r>
              <w:rPr>
                <w:sz w:val="18"/>
              </w:rPr>
              <w:t>Public</w:t>
            </w:r>
          </w:p>
        </w:tc>
        <w:tc>
          <w:tcPr>
            <w:tcW w:type="dxa" w:w="3120"/>
          </w:tcPr>
          <w:p>
            <w:pPr>
              <w:spacing w:before="20" w:after="20"/>
            </w:pPr>
            <w:r>
              <w:rPr>
                <w:sz w:val="18"/>
              </w:rPr>
              <w:t>2</w:t>
            </w:r>
          </w:p>
        </w:tc>
        <w:tc>
          <w:tcPr>
            <w:tcW w:type="dxa" w:w="3120"/>
          </w:tcPr>
          <w:p>
            <w:pPr>
              <w:spacing w:before="20" w:after="20"/>
            </w:pPr>
            <w:r>
              <w:rPr>
                <w:sz w:val="18"/>
              </w:rPr>
              <w:t>/api/public/whistleblower, /api/public/hotline</w:t>
            </w:r>
          </w:p>
        </w:tc>
      </w:tr>
      <w:tr>
        <w:tc>
          <w:tcPr>
            <w:tcW w:type="dxa" w:w="3120"/>
          </w:tcPr>
          <w:p>
            <w:pPr>
              <w:spacing w:before="20" w:after="20"/>
            </w:pPr>
            <w:r>
              <w:rPr>
                <w:sz w:val="18"/>
              </w:rPr>
              <w:t>Delegations</w:t>
            </w:r>
          </w:p>
        </w:tc>
        <w:tc>
          <w:tcPr>
            <w:tcW w:type="dxa" w:w="3120"/>
          </w:tcPr>
          <w:p>
            <w:pPr>
              <w:spacing w:before="20" w:after="20"/>
            </w:pPr>
            <w:r>
              <w:rPr>
                <w:sz w:val="18"/>
              </w:rPr>
              <w:t>1</w:t>
            </w:r>
          </w:p>
        </w:tc>
        <w:tc>
          <w:tcPr>
            <w:tcW w:type="dxa" w:w="3120"/>
          </w:tcPr>
          <w:p>
            <w:pPr>
              <w:spacing w:before="20" w:after="20"/>
            </w:pPr>
            <w:r>
              <w:rPr>
                <w:sz w:val="18"/>
              </w:rPr>
              <w:t>/api/delegations</w:t>
            </w:r>
          </w:p>
        </w:tc>
      </w:tr>
      <w:tr>
        <w:tc>
          <w:tcPr>
            <w:tcW w:type="dxa" w:w="3120"/>
          </w:tcPr>
          <w:p>
            <w:pPr>
              <w:spacing w:before="20" w:after="20"/>
            </w:pPr>
            <w:r>
              <w:rPr>
                <w:sz w:val="18"/>
              </w:rPr>
              <w:t>Document Templates</w:t>
            </w:r>
          </w:p>
        </w:tc>
        <w:tc>
          <w:tcPr>
            <w:tcW w:type="dxa" w:w="3120"/>
          </w:tcPr>
          <w:p>
            <w:pPr>
              <w:spacing w:before="20" w:after="20"/>
            </w:pPr>
            <w:r>
              <w:rPr>
                <w:sz w:val="18"/>
              </w:rPr>
              <w:t>1</w:t>
            </w:r>
          </w:p>
        </w:tc>
        <w:tc>
          <w:tcPr>
            <w:tcW w:type="dxa" w:w="3120"/>
          </w:tcPr>
          <w:p>
            <w:pPr>
              <w:spacing w:before="20" w:after="20"/>
            </w:pPr>
            <w:r>
              <w:rPr>
                <w:sz w:val="18"/>
              </w:rPr>
              <w:t>/api/document-templates</w:t>
            </w:r>
          </w:p>
        </w:tc>
      </w:tr>
      <w:tr>
        <w:tc>
          <w:tcPr>
            <w:tcW w:type="dxa" w:w="3120"/>
          </w:tcPr>
          <w:p>
            <w:pPr>
              <w:spacing w:before="20" w:after="20"/>
            </w:pPr>
            <w:r>
              <w:rPr>
                <w:sz w:val="18"/>
              </w:rPr>
              <w:t>Reference Data</w:t>
            </w:r>
          </w:p>
        </w:tc>
        <w:tc>
          <w:tcPr>
            <w:tcW w:type="dxa" w:w="3120"/>
          </w:tcPr>
          <w:p>
            <w:pPr>
              <w:spacing w:before="20" w:after="20"/>
            </w:pPr>
            <w:r>
              <w:rPr>
                <w:sz w:val="18"/>
              </w:rPr>
              <w:t>1</w:t>
            </w:r>
          </w:p>
        </w:tc>
        <w:tc>
          <w:tcPr>
            <w:tcW w:type="dxa" w:w="3120"/>
          </w:tcPr>
          <w:p>
            <w:pPr>
              <w:spacing w:before="20" w:after="20"/>
            </w:pPr>
            <w:r>
              <w:rPr>
                <w:sz w:val="18"/>
              </w:rPr>
              <w:t>/api/reference-data</w:t>
            </w:r>
          </w:p>
        </w:tc>
      </w:tr>
      <w:tr>
        <w:tc>
          <w:tcPr>
            <w:tcW w:type="dxa" w:w="3120"/>
          </w:tcPr>
          <w:p>
            <w:pPr>
              <w:spacing w:before="20" w:after="20"/>
            </w:pPr>
            <w:r>
              <w:rPr>
                <w:sz w:val="18"/>
              </w:rPr>
              <w:t>User Preferences</w:t>
            </w:r>
          </w:p>
        </w:tc>
        <w:tc>
          <w:tcPr>
            <w:tcW w:type="dxa" w:w="3120"/>
          </w:tcPr>
          <w:p>
            <w:pPr>
              <w:spacing w:before="20" w:after="20"/>
            </w:pPr>
            <w:r>
              <w:rPr>
                <w:sz w:val="18"/>
              </w:rPr>
              <w:t>2</w:t>
            </w:r>
          </w:p>
        </w:tc>
        <w:tc>
          <w:tcPr>
            <w:tcW w:type="dxa" w:w="3120"/>
          </w:tcPr>
          <w:p>
            <w:pPr>
              <w:spacing w:before="20" w:after="20"/>
            </w:pPr>
            <w:r>
              <w:rPr>
                <w:sz w:val="18"/>
              </w:rPr>
              <w:t>/api/user-preferences, shortcuts</w:t>
            </w:r>
          </w:p>
        </w:tc>
      </w:tr>
      <w:tr>
        <w:tc>
          <w:tcPr>
            <w:tcW w:type="dxa" w:w="3120"/>
          </w:tcPr>
          <w:p>
            <w:pPr>
              <w:spacing w:before="20" w:after="20"/>
            </w:pPr>
            <w:r>
              <w:rPr>
                <w:sz w:val="18"/>
              </w:rPr>
              <w:t>Downloads</w:t>
            </w:r>
          </w:p>
        </w:tc>
        <w:tc>
          <w:tcPr>
            <w:tcW w:type="dxa" w:w="3120"/>
          </w:tcPr>
          <w:p>
            <w:pPr>
              <w:spacing w:before="20" w:after="20"/>
            </w:pPr>
            <w:r>
              <w:rPr>
                <w:sz w:val="18"/>
              </w:rPr>
              <w:t>1</w:t>
            </w:r>
          </w:p>
        </w:tc>
        <w:tc>
          <w:tcPr>
            <w:tcW w:type="dxa" w:w="3120"/>
          </w:tcPr>
          <w:p>
            <w:pPr>
              <w:spacing w:before="20" w:after="20"/>
            </w:pPr>
            <w:r>
              <w:rPr>
                <w:sz w:val="18"/>
              </w:rPr>
              <w:t>/api/download-case-docs/[caseId]</w:t>
            </w:r>
          </w:p>
        </w:tc>
      </w:tr>
    </w:tbl>
    <w:p/>
    <w:p>
      <w:pPr>
        <w:pStyle w:val="Heading2"/>
      </w:pPr>
      <w:r>
        <w:t>Appendix D: Database Schema Summary</w:t>
      </w:r>
    </w:p>
    <w:p>
      <w:pPr>
        <w:spacing w:after="80"/>
      </w:pPr>
      <w:r>
        <w:t>OIG-ITS utilizes a PostgreSQL 16 database with 53 models managed by Prisma ORM 7.6. The schema encompasses 20 database migrations.</w:t>
      </w:r>
    </w:p>
    <w:p>
      <w:pPr>
        <w:spacing w:after="80"/>
      </w:pPr>
      <w:r>
        <w:t>Core Enumerations (12):</w:t>
      </w:r>
    </w:p>
    <w:tbl>
      <w:tblPr>
        <w:tblStyle w:val="LightGrid-Accent1"/>
        <w:tblW w:type="auto" w:w="0"/>
        <w:jc w:val="left"/>
        <w:tblLook w:firstColumn="1" w:firstRow="1" w:lastColumn="0" w:lastRow="0" w:noHBand="0" w:noVBand="1" w:val="04A0"/>
      </w:tblPr>
      <w:tblGrid>
        <w:gridCol w:w="4680"/>
        <w:gridCol w:w="4680"/>
      </w:tblGrid>
      <w:tr>
        <w:tc>
          <w:tcPr>
            <w:tcW w:type="dxa" w:w="4680"/>
          </w:tcPr>
          <w:p>
            <w:pPr>
              <w:spacing w:before="20" w:after="20"/>
            </w:pPr>
            <w:r>
              <w:rPr>
                <w:sz w:val="18"/>
              </w:rPr>
              <w:t>Enum</w:t>
            </w:r>
          </w:p>
        </w:tc>
        <w:tc>
          <w:tcPr>
            <w:tcW w:type="dxa" w:w="4680"/>
          </w:tcPr>
          <w:p>
            <w:pPr>
              <w:spacing w:before="20" w:after="20"/>
            </w:pPr>
            <w:r>
              <w:rPr>
                <w:sz w:val="18"/>
              </w:rPr>
              <w:t>Values</w:t>
            </w:r>
          </w:p>
        </w:tc>
      </w:tr>
      <w:tr>
        <w:tc>
          <w:tcPr>
            <w:tcW w:type="dxa" w:w="4680"/>
          </w:tcPr>
          <w:p>
            <w:pPr>
              <w:spacing w:before="20" w:after="20"/>
            </w:pPr>
            <w:r>
              <w:rPr>
                <w:sz w:val="18"/>
              </w:rPr>
              <w:t>UserRole</w:t>
            </w:r>
          </w:p>
        </w:tc>
        <w:tc>
          <w:tcPr>
            <w:tcW w:type="dxa" w:w="4680"/>
          </w:tcPr>
          <w:p>
            <w:pPr>
              <w:spacing w:before="20" w:after="20"/>
            </w:pPr>
            <w:r>
              <w:rPr>
                <w:sz w:val="18"/>
              </w:rPr>
              <w:t>ADMIN, INVESTIGATOR, SUPERVISOR, ANALYST, AUDITOR, READONLY</w:t>
            </w:r>
          </w:p>
        </w:tc>
      </w:tr>
      <w:tr>
        <w:tc>
          <w:tcPr>
            <w:tcW w:type="dxa" w:w="4680"/>
          </w:tcPr>
          <w:p>
            <w:pPr>
              <w:spacing w:before="20" w:after="20"/>
            </w:pPr>
            <w:r>
              <w:rPr>
                <w:sz w:val="18"/>
              </w:rPr>
              <w:t>CaseStatus</w:t>
            </w:r>
          </w:p>
        </w:tc>
        <w:tc>
          <w:tcPr>
            <w:tcW w:type="dxa" w:w="4680"/>
          </w:tcPr>
          <w:p>
            <w:pPr>
              <w:spacing w:before="20" w:after="20"/>
            </w:pPr>
            <w:r>
              <w:rPr>
                <w:sz w:val="18"/>
              </w:rPr>
              <w:t>INTAKE, OPEN, ACTIVE, UNDER_REVIEW, PENDING_ACTION, CLOSED, ARCHIVED</w:t>
            </w:r>
          </w:p>
        </w:tc>
      </w:tr>
      <w:tr>
        <w:tc>
          <w:tcPr>
            <w:tcW w:type="dxa" w:w="4680"/>
          </w:tcPr>
          <w:p>
            <w:pPr>
              <w:spacing w:before="20" w:after="20"/>
            </w:pPr>
            <w:r>
              <w:rPr>
                <w:sz w:val="18"/>
              </w:rPr>
              <w:t>CaseType</w:t>
            </w:r>
          </w:p>
        </w:tc>
        <w:tc>
          <w:tcPr>
            <w:tcW w:type="dxa" w:w="4680"/>
          </w:tcPr>
          <w:p>
            <w:pPr>
              <w:spacing w:before="20" w:after="20"/>
            </w:pPr>
            <w:r>
              <w:rPr>
                <w:sz w:val="18"/>
              </w:rPr>
              <w:t>FRAUD, WASTE, ABUSE, MISCONDUCT, WHISTLEBLOWER, COMPLIANCE, OUTREACH, BRIEFING, OTHER</w:t>
            </w:r>
          </w:p>
        </w:tc>
      </w:tr>
      <w:tr>
        <w:tc>
          <w:tcPr>
            <w:tcW w:type="dxa" w:w="4680"/>
          </w:tcPr>
          <w:p>
            <w:pPr>
              <w:spacing w:before="20" w:after="20"/>
            </w:pPr>
            <w:r>
              <w:rPr>
                <w:sz w:val="18"/>
              </w:rPr>
              <w:t>Priority</w:t>
            </w:r>
          </w:p>
        </w:tc>
        <w:tc>
          <w:tcPr>
            <w:tcW w:type="dxa" w:w="4680"/>
          </w:tcPr>
          <w:p>
            <w:pPr>
              <w:spacing w:before="20" w:after="20"/>
            </w:pPr>
            <w:r>
              <w:rPr>
                <w:sz w:val="18"/>
              </w:rPr>
              <w:t>LOW, MEDIUM, HIGH, CRITICAL</w:t>
            </w:r>
          </w:p>
        </w:tc>
      </w:tr>
      <w:tr>
        <w:tc>
          <w:tcPr>
            <w:tcW w:type="dxa" w:w="4680"/>
          </w:tcPr>
          <w:p>
            <w:pPr>
              <w:spacing w:before="20" w:after="20"/>
            </w:pPr>
            <w:r>
              <w:rPr>
                <w:sz w:val="18"/>
              </w:rPr>
              <w:t>TaskStatus</w:t>
            </w:r>
          </w:p>
        </w:tc>
        <w:tc>
          <w:tcPr>
            <w:tcW w:type="dxa" w:w="4680"/>
          </w:tcPr>
          <w:p>
            <w:pPr>
              <w:spacing w:before="20" w:after="20"/>
            </w:pPr>
            <w:r>
              <w:rPr>
                <w:sz w:val="18"/>
              </w:rPr>
              <w:t>PENDING, IN_PROGRESS, COMPLETED, CANCELLED, BLOCKED</w:t>
            </w:r>
          </w:p>
        </w:tc>
      </w:tr>
      <w:tr>
        <w:tc>
          <w:tcPr>
            <w:tcW w:type="dxa" w:w="4680"/>
          </w:tcPr>
          <w:p>
            <w:pPr>
              <w:spacing w:before="20" w:after="20"/>
            </w:pPr>
            <w:r>
              <w:rPr>
                <w:sz w:val="18"/>
              </w:rPr>
              <w:t>DocumentStatus</w:t>
            </w:r>
          </w:p>
        </w:tc>
        <w:tc>
          <w:tcPr>
            <w:tcW w:type="dxa" w:w="4680"/>
          </w:tcPr>
          <w:p>
            <w:pPr>
              <w:spacing w:before="20" w:after="20"/>
            </w:pPr>
            <w:r>
              <w:rPr>
                <w:sz w:val="18"/>
              </w:rPr>
              <w:t>DRAFT, UPLOADED, REVIEWED, APPROVED, REDACTED, ARCHIVED</w:t>
            </w:r>
          </w:p>
        </w:tc>
      </w:tr>
      <w:tr>
        <w:tc>
          <w:tcPr>
            <w:tcW w:type="dxa" w:w="4680"/>
          </w:tcPr>
          <w:p>
            <w:pPr>
              <w:spacing w:before="20" w:after="20"/>
            </w:pPr>
            <w:r>
              <w:rPr>
                <w:sz w:val="18"/>
              </w:rPr>
              <w:t>EvidenceStatus</w:t>
            </w:r>
          </w:p>
        </w:tc>
        <w:tc>
          <w:tcPr>
            <w:tcW w:type="dxa" w:w="4680"/>
          </w:tcPr>
          <w:p>
            <w:pPr>
              <w:spacing w:before="20" w:after="20"/>
            </w:pPr>
            <w:r>
              <w:rPr>
                <w:sz w:val="18"/>
              </w:rPr>
              <w:t>COLLECTED, IN_REVIEW, VERIFIED, DISPUTED, ARCHIVED</w:t>
            </w:r>
          </w:p>
        </w:tc>
      </w:tr>
      <w:tr>
        <w:tc>
          <w:tcPr>
            <w:tcW w:type="dxa" w:w="4680"/>
          </w:tcPr>
          <w:p>
            <w:pPr>
              <w:spacing w:before="20" w:after="20"/>
            </w:pPr>
            <w:r>
              <w:rPr>
                <w:sz w:val="18"/>
              </w:rPr>
              <w:t>EvidenceType</w:t>
            </w:r>
          </w:p>
        </w:tc>
        <w:tc>
          <w:tcPr>
            <w:tcW w:type="dxa" w:w="4680"/>
          </w:tcPr>
          <w:p>
            <w:pPr>
              <w:spacing w:before="20" w:after="20"/>
            </w:pPr>
            <w:r>
              <w:rPr>
                <w:sz w:val="18"/>
              </w:rPr>
              <w:t>DOCUMENT, PHOTO, VIDEO, AUDIO, DIGITAL, PHYSICAL, TESTIMONY, OTHER</w:t>
            </w:r>
          </w:p>
        </w:tc>
      </w:tr>
      <w:tr>
        <w:tc>
          <w:tcPr>
            <w:tcW w:type="dxa" w:w="4680"/>
          </w:tcPr>
          <w:p>
            <w:pPr>
              <w:spacing w:before="20" w:after="20"/>
            </w:pPr>
            <w:r>
              <w:rPr>
                <w:sz w:val="18"/>
              </w:rPr>
              <w:t>WorkflowType</w:t>
            </w:r>
          </w:p>
        </w:tc>
        <w:tc>
          <w:tcPr>
            <w:tcW w:type="dxa" w:w="4680"/>
          </w:tcPr>
          <w:p>
            <w:pPr>
              <w:spacing w:before="20" w:after="20"/>
            </w:pPr>
            <w:r>
              <w:rPr>
                <w:sz w:val="18"/>
              </w:rPr>
              <w:t>CASE_INTAKE, INVESTIGATION, REVIEW, CLOSURE, CUSTOM</w:t>
            </w:r>
          </w:p>
        </w:tc>
      </w:tr>
      <w:tr>
        <w:tc>
          <w:tcPr>
            <w:tcW w:type="dxa" w:w="4680"/>
          </w:tcPr>
          <w:p>
            <w:pPr>
              <w:spacing w:before="20" w:after="20"/>
            </w:pPr>
            <w:r>
              <w:rPr>
                <w:sz w:val="18"/>
              </w:rPr>
              <w:t>WorkflowStatus</w:t>
            </w:r>
          </w:p>
        </w:tc>
        <w:tc>
          <w:tcPr>
            <w:tcW w:type="dxa" w:w="4680"/>
          </w:tcPr>
          <w:p>
            <w:pPr>
              <w:spacing w:before="20" w:after="20"/>
            </w:pPr>
            <w:r>
              <w:rPr>
                <w:sz w:val="18"/>
              </w:rPr>
              <w:t>DRAFT, ACTIVE, PAUSED, COMPLETED, CANCELLED</w:t>
            </w:r>
          </w:p>
        </w:tc>
      </w:tr>
      <w:tr>
        <w:tc>
          <w:tcPr>
            <w:tcW w:type="dxa" w:w="4680"/>
          </w:tcPr>
          <w:p>
            <w:pPr>
              <w:spacing w:before="20" w:after="20"/>
            </w:pPr>
            <w:r>
              <w:rPr>
                <w:sz w:val="18"/>
              </w:rPr>
              <w:t>SubjectType</w:t>
            </w:r>
          </w:p>
        </w:tc>
        <w:tc>
          <w:tcPr>
            <w:tcW w:type="dxa" w:w="4680"/>
          </w:tcPr>
          <w:p>
            <w:pPr>
              <w:spacing w:before="20" w:after="20"/>
            </w:pPr>
            <w:r>
              <w:rPr>
                <w:sz w:val="18"/>
              </w:rPr>
              <w:t>INDIVIDUAL, ORGANIZATION, DEPARTMENT, VENDOR, OTHER</w:t>
            </w:r>
          </w:p>
        </w:tc>
      </w:tr>
      <w:tr>
        <w:tc>
          <w:tcPr>
            <w:tcW w:type="dxa" w:w="4680"/>
          </w:tcPr>
          <w:p>
            <w:pPr>
              <w:spacing w:before="20" w:after="20"/>
            </w:pPr>
            <w:r>
              <w:rPr>
                <w:sz w:val="18"/>
              </w:rPr>
              <w:t>SubjectRole</w:t>
            </w:r>
          </w:p>
        </w:tc>
        <w:tc>
          <w:tcPr>
            <w:tcW w:type="dxa" w:w="4680"/>
          </w:tcPr>
          <w:p>
            <w:pPr>
              <w:spacing w:before="20" w:after="20"/>
            </w:pPr>
            <w:r>
              <w:rPr>
                <w:sz w:val="18"/>
              </w:rPr>
              <w:t>COMPLAINANT, RESPONDENT, WITNESS, SUBJECT_OF_INTEREST, INFORMANT, OTHER</w:t>
            </w:r>
          </w:p>
        </w:tc>
      </w:tr>
      <w:tr>
        <w:tc>
          <w:tcPr>
            <w:tcW w:type="dxa" w:w="4680"/>
          </w:tcPr>
          <w:p>
            <w:pPr>
              <w:spacing w:before="20" w:after="20"/>
            </w:pPr>
            <w:r>
              <w:rPr>
                <w:sz w:val="18"/>
              </w:rPr>
              <w:t>NotificationType</w:t>
            </w:r>
          </w:p>
        </w:tc>
        <w:tc>
          <w:tcPr>
            <w:tcW w:type="dxa" w:w="4680"/>
          </w:tcPr>
          <w:p>
            <w:pPr>
              <w:spacing w:before="20" w:after="20"/>
            </w:pPr>
            <w:r>
              <w:rPr>
                <w:sz w:val="18"/>
              </w:rPr>
              <w:t>CASE_ASSIGNED, CASE_UPDATED, TASK_ASSIGNED, TASK_DUE, DOCUMENT_UPLOADED, EVIDENCE_ADDED, WORKFLOW_ACTION, SYSTEM_ALERT, ANNOUNCEMENT</w:t>
            </w:r>
          </w:p>
        </w:tc>
      </w:tr>
      <w:tr>
        <w:tc>
          <w:tcPr>
            <w:tcW w:type="dxa" w:w="4680"/>
          </w:tcPr>
          <w:p>
            <w:pPr>
              <w:spacing w:before="20" w:after="20"/>
            </w:pPr>
            <w:r>
              <w:rPr>
                <w:sz w:val="18"/>
              </w:rPr>
              <w:t>AuditAction</w:t>
            </w:r>
          </w:p>
        </w:tc>
        <w:tc>
          <w:tcPr>
            <w:tcW w:type="dxa" w:w="4680"/>
          </w:tcPr>
          <w:p>
            <w:pPr>
              <w:spacing w:before="20" w:after="20"/>
            </w:pPr>
            <w:r>
              <w:rPr>
                <w:sz w:val="18"/>
              </w:rPr>
              <w:t>CREATE, READ, UPDATE, DELETE, LOGIN, LOGOUT, EXPORT, ASSIGN, STATUS_CHANGE, ACCESS_DENIED</w:t>
            </w:r>
          </w:p>
        </w:tc>
      </w:tr>
    </w:tbl>
    <w:p/>
    <w:p>
      <w:pPr>
        <w:spacing w:after="80"/>
      </w:pPr>
      <w:r>
        <w:t>Core Entity Models (53):</w:t>
      </w:r>
    </w:p>
    <w:p>
      <w:pPr>
        <w:spacing w:after="80"/>
      </w:pPr>
      <w:r>
        <w:t>User, Session, Case, CaseSubject, Subject, CaseRelationship, CaseAssignment, CaseStatusHistory, CaseNote, Document, DocumentAccessLog, DocumentComment, EvidenceItem, ChainOfCustody, EvidenceFile, Task, WorkflowDefinition, WorkflowInstance, WorkflowStepAction, Notification, NotificationPreference, AuditLog, ReportDefinition, ReportRun, ReportSchedule, SavedSearch, SystemSetting, ReferenceData, Organization, Announcement, FeatureFlag, Violation, FinancialResult, InvestigativeTechnique, Referral, SubjectAction, InventoryItem, CalendarReminder, PasswordResetToken, TimeEntry, Timesheet, TrainingCourse, TrainingRecord, TrainingAssignment, PreliminaryInquiry, CloseChecklist, Delegation, DocumentAttachment, ReportReview, FieldLabel, SubpoenaPackage, CourseEvaluation, UserPreference.</w:t>
      </w:r>
    </w:p>
    <w:p>
      <w:pPr>
        <w:spacing w:after="80"/>
      </w:pPr>
      <w:r>
        <w:t>Key Relationships:</w:t>
      </w:r>
    </w:p>
    <w:p>
      <w:pPr>
        <w:pStyle w:val="ListBullet"/>
        <w:spacing w:before="20" w:after="20"/>
      </w:pPr>
      <w:r>
        <w:t>Cases are linked to Users (creator, assignees), Subjects (via CaseSubject junction), and Organizations.</w:t>
      </w:r>
    </w:p>
    <w:p>
      <w:pPr>
        <w:pStyle w:val="ListBullet"/>
        <w:spacing w:before="20" w:after="20"/>
      </w:pPr>
      <w:r>
        <w:t>Documents and EvidenceItems are associated with Cases and tracked via chain-of-custody records.</w:t>
      </w:r>
    </w:p>
    <w:p>
      <w:pPr>
        <w:pStyle w:val="ListBullet"/>
        <w:spacing w:before="20" w:after="20"/>
      </w:pPr>
      <w:r>
        <w:t>Workflows are defined as templates (WorkflowDefinition) and instantiated per case (WorkflowInstance).</w:t>
      </w:r>
    </w:p>
    <w:p>
      <w:pPr>
        <w:pStyle w:val="ListBullet"/>
        <w:spacing w:before="20" w:after="20"/>
      </w:pPr>
      <w:r>
        <w:t>Subjects support hierarchical relationships (parent-child) for organizational mapping.</w:t>
      </w:r>
    </w:p>
    <w:p>
      <w:pPr>
        <w:pStyle w:val="ListBullet"/>
        <w:spacing w:before="20" w:after="20"/>
      </w:pPr>
      <w:r>
        <w:t>Audit logs capture all system actions with user, action type, and timestamp for FISMA compliance.</w:t>
      </w:r>
    </w:p>
    <w:p>
      <w:r>
        <w:t>____________________________________________________________</w:t>
      </w:r>
    </w:p>
    <w:p>
      <w:pPr>
        <w:spacing w:after="80"/>
      </w:pPr>
      <w:r>
        <w:t>*End of Document*</w:t>
      </w:r>
    </w:p>
    <w:p>
      <w:pPr>
        <w:spacing w:after="80"/>
      </w:pPr>
      <w:r>
        <w:t>*This document is a controlled deliverable under SOW requirement DM4. Distribution is limited to authorized OIG personnel and contractor staff with a valid need-to-know. Questions regarding this document should be directed to the OIG Information Technology Division.*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