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1F3354"/>
          <w:sz w:val="80"/>
        </w:rPr>
        <w:t>UMIS</w:t>
      </w:r>
    </w:p>
    <w:p>
      <w:pPr>
        <w:jc w:val="center"/>
      </w:pPr>
      <w:r>
        <w:rPr>
          <w:b/>
          <w:color w:val="2E5C8A"/>
          <w:sz w:val="48"/>
        </w:rPr>
        <w:t>Workflow Documentation</w:t>
      </w:r>
    </w:p>
    <w:p>
      <w:pPr>
        <w:spacing w:before="120"/>
        <w:jc w:val="center"/>
      </w:pPr>
      <w:r>
        <w:rPr>
          <w:color w:val="555555"/>
          <w:sz w:val="28"/>
        </w:rPr>
        <w:t>Business Process Overview — Student, PBAS, CAS, AQAR &amp; NIRF</w:t>
      </w:r>
    </w:p>
    <w:p>
      <w:pPr>
        <w:spacing w:before="2000"/>
        <w:jc w:val="center"/>
      </w:pPr>
      <w:r>
        <w:rPr>
          <w:i/>
          <w:color w:val="555555"/>
          <w:sz w:val="22"/>
        </w:rPr>
        <w:t>Prepared for the Business &amp; Administrative Review Team</w:t>
      </w:r>
    </w:p>
    <w:p>
      <w:pPr>
        <w:jc w:val="center"/>
      </w:pPr>
      <w:r>
        <w:rPr>
          <w:i/>
          <w:color w:val="555555"/>
          <w:sz w:val="22"/>
        </w:rPr>
        <w:t>A non-technical guide to how each module works, screen by screen and role by role</w:t>
      </w:r>
    </w:p>
    <w:p>
      <w:r>
        <w:br w:type="page"/>
      </w:r>
    </w:p>
    <w:p>
      <w:pPr>
        <w:pStyle w:val="Heading1"/>
      </w:pPr>
      <w:r>
        <w:t>Contents</w:t>
      </w:r>
    </w:p>
    <w:p>
      <w:pPr>
        <w:spacing w:after="80"/>
      </w:pPr>
      <w:r>
        <w:rPr>
          <w:color w:val="1F3354"/>
          <w:sz w:val="24"/>
        </w:rPr>
        <w:t>1. Introduction &amp; How to Read This Document</w:t>
      </w:r>
    </w:p>
    <w:p>
      <w:pPr>
        <w:spacing w:after="80"/>
      </w:pPr>
      <w:r>
        <w:rPr>
          <w:color w:val="1F3354"/>
          <w:sz w:val="24"/>
        </w:rPr>
        <w:t>2. User Roles in the System</w:t>
      </w:r>
    </w:p>
    <w:p>
      <w:pPr>
        <w:spacing w:after="80"/>
      </w:pPr>
      <w:r>
        <w:rPr>
          <w:color w:val="1F3354"/>
          <w:sz w:val="24"/>
        </w:rPr>
        <w:t>3. Student Workflow</w:t>
      </w:r>
    </w:p>
    <w:p>
      <w:pPr>
        <w:spacing w:after="80"/>
      </w:pPr>
      <w:r>
        <w:rPr>
          <w:color w:val="1F3354"/>
          <w:sz w:val="24"/>
        </w:rPr>
        <w:t>4. PBAS — Performance Based Appraisal System (Faculty)</w:t>
      </w:r>
    </w:p>
    <w:p>
      <w:pPr>
        <w:spacing w:after="80"/>
      </w:pPr>
      <w:r>
        <w:rPr>
          <w:color w:val="1F3354"/>
          <w:sz w:val="24"/>
        </w:rPr>
        <w:t>5. CAS — Career Advancement Scheme (Faculty)</w:t>
      </w:r>
    </w:p>
    <w:p>
      <w:pPr>
        <w:spacing w:after="80"/>
      </w:pPr>
      <w:r>
        <w:rPr>
          <w:color w:val="1F3354"/>
          <w:sz w:val="24"/>
        </w:rPr>
        <w:t>6. AQAR — Annual Quality Assurance Report (Faculty)</w:t>
      </w:r>
    </w:p>
    <w:p>
      <w:pPr>
        <w:spacing w:after="80"/>
      </w:pPr>
      <w:r>
        <w:rPr>
          <w:color w:val="1F3354"/>
          <w:sz w:val="24"/>
        </w:rPr>
        <w:t>7. NIRF — National Institutional Ranking Framework (Admin)</w:t>
      </w:r>
    </w:p>
    <w:p>
      <w:pPr>
        <w:spacing w:after="80"/>
      </w:pPr>
      <w:r>
        <w:rPr>
          <w:color w:val="1F3354"/>
          <w:sz w:val="24"/>
        </w:rPr>
        <w:t>8. Who Does What — Cross-Module Summary</w:t>
      </w:r>
    </w:p>
    <w:p>
      <w:pPr>
        <w:spacing w:after="80"/>
      </w:pPr>
      <w:r>
        <w:rPr>
          <w:color w:val="1F3354"/>
          <w:sz w:val="24"/>
        </w:rPr>
        <w:t>9. Recently Delivered Enhancements</w:t>
      </w:r>
    </w:p>
    <w:p>
      <w:pPr>
        <w:spacing w:after="80"/>
      </w:pPr>
      <w:r>
        <w:rPr>
          <w:color w:val="1F3354"/>
          <w:sz w:val="24"/>
        </w:rPr>
        <w:t>10. Glossary of Terms</w:t>
      </w:r>
    </w:p>
    <w:p>
      <w:r>
        <w:br w:type="page"/>
      </w:r>
    </w:p>
    <w:p>
      <w:pPr>
        <w:pStyle w:val="Heading1"/>
      </w:pPr>
      <w:r>
        <w:t>1. Introduction &amp; How to Read This Document</w:t>
      </w:r>
    </w:p>
    <w:p>
      <w:r>
        <w:rPr>
          <w:b w:val="0"/>
          <w:i w:val="0"/>
        </w:rPr>
        <w:t>This document explains, in plain business language, how the UMIS application actually works today — what each user role can do, what each screen is for, and what happens step by step as a piece of work (a student record, a faculty appraisal, a promotion application, an annual report, or an institutional ranking submission) moves from being created to being finally approved. It is written for the business and administrative review team, not for developers — no technical terms are used except where the system itself uses a specific name (e.g. “PBAS”, “AQAR”) that the review team will also see on screen.</w:t>
      </w:r>
    </w:p>
    <w:p>
      <w:r>
        <w:rPr>
          <w:b w:val="0"/>
          <w:i w:val="0"/>
        </w:rPr>
        <w:t>Every fact in this document was confirmed directly against the current, working application — the exact screen names, button labels, and step-by-step order described here are what a real user sees today, not a plan or a proposal.</w:t>
      </w:r>
    </w:p>
    <w:p>
      <w:pPr>
        <w:pStyle w:val="Heading2"/>
      </w:pPr>
      <w:r>
        <w:t>A note on how approvals generally work</w:t>
      </w:r>
    </w:p>
    <w:p>
      <w:r>
        <w:rPr>
          <w:b w:val="0"/>
          <w:i w:val="0"/>
        </w:rPr>
        <w:t>Across every module in this system, the same basic pattern repeats: the person who owns the record (a Faculty member or a Student) creates it and submits it; it then passes through one or more review checkpoints; and if anyone along the way sends it back, it returns to the original owner as an editable draft so they can fix it and resubmit — nothing is ever silently discarded. The exact number of checkpoints and who sits at each one is slightly different for each module, and each module section below spells that out precisely.</w:t>
      </w:r>
    </w:p>
    <w:p>
      <w:r>
        <w:br w:type="page"/>
      </w:r>
    </w:p>
    <w:p>
      <w:pPr>
        <w:pStyle w:val="Heading1"/>
      </w:pPr>
      <w:r>
        <w:t>2. User Roles in the System</w:t>
      </w:r>
    </w:p>
    <w:p>
      <w:r>
        <w:rPr>
          <w:b w:val="0"/>
          <w:i w:val="0"/>
        </w:rPr>
        <w:t>The system recognises four kinds of users, each with their own login and their own set of screens:</w:t>
      </w:r>
    </w:p>
    <w:p>
      <w:pPr>
        <w:pStyle w:val="ListBullet"/>
      </w:pPr>
      <w:r>
        <w:rPr>
          <w:b/>
        </w:rPr>
        <w:t>Student</w:t>
      </w:r>
      <w:r>
        <w:t xml:space="preserve"> — enters their own academic records, responds to survey and report requests, and manages their profile.</w:t>
      </w:r>
    </w:p>
    <w:p>
      <w:pPr>
        <w:pStyle w:val="ListBullet"/>
      </w:pPr>
      <w:r>
        <w:rPr>
          <w:b/>
        </w:rPr>
        <w:t>Faculty</w:t>
      </w:r>
      <w:r>
        <w:t xml:space="preserve"> — enters their own teaching, research, and academic activity; fills in and submits the appraisal (PBAS), promotion (CAS), and annual quality (AQAR) reports; contributes to institutional reports (SSR) when asked.</w:t>
      </w:r>
    </w:p>
    <w:p>
      <w:pPr>
        <w:pStyle w:val="ListBullet"/>
      </w:pPr>
      <w:r>
        <w:rPr>
          <w:b/>
        </w:rPr>
        <w:t>Director</w:t>
      </w:r>
      <w:r>
        <w:t xml:space="preserve"> (department / school leadership) — reviews and verifies what Faculty and Students submit within their area of responsibility, before it goes to final Admin sign-off. Also has read-only visibility into institution-wide compliance and ranking data.</w:t>
      </w:r>
    </w:p>
    <w:p>
      <w:pPr>
        <w:pStyle w:val="ListBullet"/>
      </w:pPr>
      <w:r>
        <w:rPr>
          <w:b/>
        </w:rPr>
        <w:t>Admin</w:t>
      </w:r>
      <w:r>
        <w:t xml:space="preserve"> (institution administration / IQAC office) — holds final approval authority on submissions, manages master data (academic years, programs, courses, promotion rules, etc.), and owns institution-wide reporting exercises such as the NAAC data warehouse, NIRF ranking preparation, and accreditation operations.</w:t>
      </w:r>
    </w:p>
    <w:p>
      <w:pPr>
        <w:pStyle w:val="Heading2"/>
      </w:pPr>
      <w:r>
        <w:t>General rule of thumb</w:t>
      </w:r>
    </w:p>
    <w:p>
      <w:r>
        <w:rPr>
          <w:b w:val="0"/>
          <w:i w:val="0"/>
        </w:rPr>
        <w:t>Work generally flows in one direction: Faculty or Student enters data → Director reviews → Admin gives final approval. A rejection at any point sends the item back to the original owner as an editable draft, with the reviewer's remarks attached, so it can be corrected and sent through the process again.</w:t>
      </w:r>
    </w:p>
    <w:p>
      <w:r>
        <w:br w:type="page"/>
      </w:r>
    </w:p>
    <w:p>
      <w:pPr>
        <w:pStyle w:val="Heading1"/>
      </w:pPr>
      <w:r>
        <w:t>3. Student Workflow</w:t>
      </w:r>
    </w:p>
    <w:p>
      <w:r>
        <w:rPr>
          <w:b w:val="0"/>
          <w:i w:val="0"/>
        </w:rPr>
        <w:t>The Student portal has five areas, reached from a menu on the left of the screen. A Student is the only role that uses this part of the system.</w:t>
      </w:r>
    </w:p>
    <w:p>
      <w:pPr>
        <w:pStyle w:val="Heading2"/>
      </w:pPr>
      <w:r>
        <w:t>3.1 Dashboard (Home)</w:t>
      </w:r>
    </w:p>
    <w:p>
      <w:r>
        <w:rPr>
          <w:b w:val="0"/>
          <w:i w:val="0"/>
        </w:rPr>
        <w:t>The first screen a student sees after logging in. It shows:</w:t>
      </w:r>
    </w:p>
    <w:p>
      <w:pPr>
        <w:pStyle w:val="ListBullet"/>
      </w:pPr>
      <w:r>
        <w:t>A running count of how many records the student has entered, grouped by category (academic performance, achievements, engagement activities, career outcomes).</w:t>
      </w:r>
    </w:p>
    <w:p>
      <w:pPr>
        <w:pStyle w:val="ListBullet"/>
      </w:pPr>
      <w:r>
        <w:t>The student's basic identity information (enrollment number, institution, department, program, last login).</w:t>
      </w:r>
    </w:p>
    <w:p>
      <w:pPr>
        <w:pStyle w:val="ListBullet"/>
      </w:pPr>
      <w:r>
        <w:t>A visual indicator of which record categories are still empty or thin — useful for spotting gaps before an accreditation review.</w:t>
      </w:r>
    </w:p>
    <w:p>
      <w:pPr>
        <w:pStyle w:val="ListBullet"/>
      </w:pPr>
      <w:r>
        <w:t>Shortcut buttons that jump straight into the Records workspace, the Profile page, the SSR page, or the SSS survey.</w:t>
      </w:r>
    </w:p>
    <w:p>
      <w:pPr>
        <w:pStyle w:val="Heading2"/>
      </w:pPr>
      <w:r>
        <w:t>3.2 Profile</w:t>
      </w:r>
    </w:p>
    <w:p>
      <w:r>
        <w:rPr>
          <w:b w:val="0"/>
          <w:i w:val="0"/>
        </w:rPr>
        <w:t>Lets the student update their own photo and a small set of personal details (name, gender, date of birth, mobile number, address). Information that the institution controls centrally — email, department, program, enrollment number, admission year — is shown for reference only and cannot be edited by the student.</w:t>
      </w:r>
    </w:p>
    <w:p>
      <w:pPr>
        <w:pStyle w:val="Heading2"/>
      </w:pPr>
      <w:r>
        <w:t>3.3 Records — the main data-entry workspace</w:t>
      </w:r>
    </w:p>
    <w:p>
      <w:r>
        <w:rPr>
          <w:b w:val="0"/>
          <w:i w:val="0"/>
        </w:rPr>
        <w:t>This is where a student builds their full academic and extracurricular record, organised into 11 categories, each its own tab: Academics, Publications, Research, Awards, Skills, Sports, Cultural Activities, Events, Social Activities, Placements, and Internships.</w:t>
      </w:r>
    </w:p>
    <w:p>
      <w:r>
        <w:rPr>
          <w:b w:val="0"/>
          <w:i w:val="0"/>
        </w:rPr>
        <w:t>For each category, the student can:</w:t>
      </w:r>
    </w:p>
    <w:p>
      <w:pPr>
        <w:pStyle w:val="ListBullet"/>
      </w:pPr>
      <w:r>
        <w:t>Click “Add” to open a short form and enter a new record.</w:t>
      </w:r>
    </w:p>
    <w:p>
      <w:pPr>
        <w:pStyle w:val="ListBullet"/>
      </w:pPr>
      <w:r>
        <w:t>Attach a supporting document as evidence, where relevant (PDF, JPG, PNG, or WebP, up to 10 MB).</w:t>
      </w:r>
    </w:p>
    <w:p>
      <w:pPr>
        <w:pStyle w:val="ListBullet"/>
      </w:pPr>
      <w:r>
        <w:t>“Save” the entry, or “Cancel” to discard the form.</w:t>
      </w:r>
    </w:p>
    <w:p>
      <w:pPr>
        <w:pStyle w:val="ListBullet"/>
      </w:pPr>
      <w:r>
        <w:t>Delete a record they no longer want tracked — a confirmation pop-up always appears first, so nothing is removed by accident.</w:t>
      </w:r>
    </w:p>
    <w:p>
      <w:r>
        <w:rPr>
          <w:b w:val="0"/>
          <w:i w:val="0"/>
        </w:rPr>
        <w:t>Several of these forms (Awards, Skills, Sports, Cultural, Events, Social) pull their dropdown options from a master list the Admin team maintains — if an option is missing, the student needs to ask an administrator to add it.</w:t>
      </w:r>
    </w:p>
    <w:p>
      <w:pPr>
        <w:pStyle w:val="Heading2"/>
      </w:pPr>
      <w:r>
        <w:t>3.4 SSR (Self-Study Report contributions)</w:t>
      </w:r>
    </w:p>
    <w:p>
      <w:r>
        <w:rPr>
          <w:b w:val="0"/>
          <w:i w:val="0"/>
        </w:rPr>
        <w:t>When the institution is preparing its official Self-Study Report for NAAC accreditation, specific students may be asked to contribute evidence or answers for particular questions relevant to the student experience. A student:</w:t>
      </w:r>
    </w:p>
    <w:p>
      <w:pPr>
        <w:pStyle w:val="ListNumber"/>
      </w:pPr>
      <w:r>
        <w:t>Sees the list of items assigned to them, with guidance for each.</w:t>
      </w:r>
    </w:p>
    <w:p>
      <w:pPr>
        <w:pStyle w:val="ListNumber"/>
      </w:pPr>
      <w:r>
        <w:t>Fills in the requested answer — a short written answer, a number, a yes/no answer, a date, or a small data table, depending on what is being asked.</w:t>
      </w:r>
    </w:p>
    <w:p>
      <w:pPr>
        <w:pStyle w:val="ListNumber"/>
      </w:pPr>
      <w:r>
        <w:t>Attaches supporting evidence if requested.</w:t>
      </w:r>
    </w:p>
    <w:p>
      <w:pPr>
        <w:pStyle w:val="ListNumber"/>
      </w:pPr>
      <w:r>
        <w:t>Saves a draft, or submits the response once ready.</w:t>
      </w:r>
    </w:p>
    <w:p>
      <w:r>
        <w:rPr>
          <w:b w:val="0"/>
          <w:i w:val="0"/>
        </w:rPr>
        <w:t>Once submitted, the response is locked from further editing unless it is sent back for changes.</w:t>
      </w:r>
    </w:p>
    <w:p>
      <w:pPr>
        <w:pStyle w:val="Heading2"/>
      </w:pPr>
      <w:r>
        <w:t>3.5 SSS (Student Satisfaction Survey)</w:t>
      </w:r>
    </w:p>
    <w:p>
      <w:r>
        <w:rPr>
          <w:b w:val="0"/>
          <w:i w:val="0"/>
        </w:rPr>
        <w:t>A periodic, anonymous satisfaction survey. The student:</w:t>
      </w:r>
    </w:p>
    <w:p>
      <w:pPr>
        <w:pStyle w:val="ListNumber"/>
      </w:pPr>
      <w:r>
        <w:t>Selects the active survey (if more than one is open).</w:t>
      </w:r>
    </w:p>
    <w:p>
      <w:pPr>
        <w:pStyle w:val="ListNumber"/>
      </w:pPr>
      <w:r>
        <w:t>Rates a set of statements on a numeric scale.</w:t>
      </w:r>
    </w:p>
    <w:p>
      <w:pPr>
        <w:pStyle w:val="ListNumber"/>
      </w:pPr>
      <w:r>
        <w:t>Optionally adds a short remark per question.</w:t>
      </w:r>
    </w:p>
    <w:p>
      <w:pPr>
        <w:pStyle w:val="ListNumber"/>
      </w:pPr>
      <w:r>
        <w:t>Submits the survey once.</w:t>
      </w:r>
    </w:p>
    <w:p>
      <w:r>
        <w:rPr>
          <w:b w:val="0"/>
          <w:i w:val="0"/>
        </w:rPr>
        <w:t>After submitting, the student sees a simple read-only summary (overall satisfaction index and the institution's response rate) instead of the form — responses cannot be changed afterwards, since the survey is a one-time, anonymous snapshot.</w:t>
      </w:r>
    </w:p>
    <w:p>
      <w:r>
        <w:br w:type="page"/>
      </w:r>
    </w:p>
    <w:p>
      <w:pPr>
        <w:pStyle w:val="Heading1"/>
      </w:pPr>
      <w:r>
        <w:t>4. PBAS — Performance Based Appraisal System</w:t>
      </w:r>
    </w:p>
    <w:p>
      <w:r>
        <w:rPr>
          <w:b w:val="0"/>
          <w:i w:val="0"/>
        </w:rPr>
        <w:t>PBAS is the annual self-appraisal a Faculty member completes to record and score their own performance for the year — teaching load, research output, and institutional contribution — which then feeds into promotion eligibility (see the CAS section) and institutional reporting.</w:t>
      </w:r>
    </w:p>
    <w:p>
      <w:pPr>
        <w:pStyle w:val="Heading2"/>
      </w:pPr>
      <w:r>
        <w:t>4.1 Who is involved, and in what order</w:t>
      </w:r>
    </w:p>
    <w:p>
      <w:r>
        <w:rPr>
          <w:b w:val="0"/>
          <w:i w:val="0"/>
        </w:rPr>
        <w:t>Every PBAS appraisal moves through the same six-stage status list. One important thing to know: the status called “Committee Review” does not mean a committee is currently looking at it — by that point the committee stage has already passed, and the application is waiting on the Principal for final sign-off. Keep that in mind when reading status labels on screen.</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2304"/>
            <w:shd w:val="clear" w:color="auto" w:fill="1F3354"/>
          </w:tcPr>
          <w:p>
            <w:r/>
            <w:r>
              <w:rPr>
                <w:b/>
                <w:color w:val="FFFFFF"/>
                <w:sz w:val="21"/>
              </w:rPr>
              <w:t>Stage</w:t>
            </w:r>
          </w:p>
        </w:tc>
        <w:tc>
          <w:tcPr>
            <w:tcW w:type="dxa" w:w="1872"/>
            <w:shd w:val="clear" w:color="auto" w:fill="1F3354"/>
          </w:tcPr>
          <w:p>
            <w:r/>
            <w:r>
              <w:rPr>
                <w:b/>
                <w:color w:val="FFFFFF"/>
                <w:sz w:val="21"/>
              </w:rPr>
              <w:t>Status Shown</w:t>
            </w:r>
          </w:p>
        </w:tc>
        <w:tc>
          <w:tcPr>
            <w:tcW w:type="dxa" w:w="3168"/>
            <w:shd w:val="clear" w:color="auto" w:fill="1F3354"/>
          </w:tcPr>
          <w:p>
            <w:r/>
            <w:r>
              <w:rPr>
                <w:b/>
                <w:color w:val="FFFFFF"/>
                <w:sz w:val="21"/>
              </w:rPr>
              <w:t>Who Can Act</w:t>
            </w:r>
          </w:p>
        </w:tc>
        <w:tc>
          <w:tcPr>
            <w:tcW w:type="dxa" w:w="2736"/>
            <w:shd w:val="clear" w:color="auto" w:fill="1F3354"/>
          </w:tcPr>
          <w:p>
            <w:r/>
            <w:r>
              <w:rPr>
                <w:b/>
                <w:color w:val="FFFFFF"/>
                <w:sz w:val="21"/>
              </w:rPr>
              <w:t>Button They Click</w:t>
            </w:r>
          </w:p>
        </w:tc>
      </w:tr>
      <w:tr>
        <w:tc>
          <w:tcPr>
            <w:tcW w:type="dxa" w:w="2304"/>
          </w:tcPr>
          <w:p>
            <w:r/>
            <w:r>
              <w:rPr>
                <w:sz w:val="21"/>
              </w:rPr>
              <w:t>1. Department Head Review</w:t>
            </w:r>
          </w:p>
        </w:tc>
        <w:tc>
          <w:tcPr>
            <w:tcW w:type="dxa" w:w="1872"/>
          </w:tcPr>
          <w:p>
            <w:r/>
            <w:r>
              <w:rPr>
                <w:sz w:val="21"/>
              </w:rPr>
              <w:t>Submitted</w:t>
            </w:r>
          </w:p>
        </w:tc>
        <w:tc>
          <w:tcPr>
            <w:tcW w:type="dxa" w:w="3168"/>
          </w:tcPr>
          <w:p>
            <w:r/>
            <w:r>
              <w:rPr>
                <w:sz w:val="21"/>
              </w:rPr>
              <w:t>Department Head, or Director</w:t>
            </w:r>
          </w:p>
        </w:tc>
        <w:tc>
          <w:tcPr>
            <w:tcW w:type="dxa" w:w="2736"/>
          </w:tcPr>
          <w:p>
            <w:r/>
            <w:r>
              <w:rPr>
                <w:sz w:val="21"/>
              </w:rPr>
              <w:t>“Move to Under Review” or “Reject”</w:t>
            </w:r>
          </w:p>
        </w:tc>
      </w:tr>
      <w:tr>
        <w:tc>
          <w:tcPr>
            <w:tcW w:type="dxa" w:w="2304"/>
          </w:tcPr>
          <w:p>
            <w:r/>
            <w:r>
              <w:rPr>
                <w:sz w:val="21"/>
              </w:rPr>
              <w:t>2. Committee Review</w:t>
            </w:r>
          </w:p>
        </w:tc>
        <w:tc>
          <w:tcPr>
            <w:tcW w:type="dxa" w:w="1872"/>
          </w:tcPr>
          <w:p>
            <w:r/>
            <w:r>
              <w:rPr>
                <w:sz w:val="21"/>
              </w:rPr>
              <w:t>Under Review</w:t>
            </w:r>
          </w:p>
        </w:tc>
        <w:tc>
          <w:tcPr>
            <w:tcW w:type="dxa" w:w="3168"/>
          </w:tcPr>
          <w:p>
            <w:r/>
            <w:r>
              <w:rPr>
                <w:sz w:val="21"/>
              </w:rPr>
              <w:t>PBAS Committee, IQAC, or Director</w:t>
            </w:r>
          </w:p>
        </w:tc>
        <w:tc>
          <w:tcPr>
            <w:tcW w:type="dxa" w:w="2736"/>
          </w:tcPr>
          <w:p>
            <w:r/>
            <w:r>
              <w:rPr>
                <w:sz w:val="21"/>
              </w:rPr>
              <w:t>“Move to Committee Review” or “Reject”</w:t>
            </w:r>
          </w:p>
        </w:tc>
      </w:tr>
      <w:tr>
        <w:tc>
          <w:tcPr>
            <w:tcW w:type="dxa" w:w="2304"/>
          </w:tcPr>
          <w:p>
            <w:r/>
            <w:r>
              <w:rPr>
                <w:sz w:val="21"/>
              </w:rPr>
              <w:t>3. Principal Approval</w:t>
            </w:r>
          </w:p>
        </w:tc>
        <w:tc>
          <w:tcPr>
            <w:tcW w:type="dxa" w:w="1872"/>
          </w:tcPr>
          <w:p>
            <w:r/>
            <w:r>
              <w:rPr>
                <w:sz w:val="21"/>
              </w:rPr>
              <w:t>Committee Review</w:t>
            </w:r>
          </w:p>
        </w:tc>
        <w:tc>
          <w:tcPr>
            <w:tcW w:type="dxa" w:w="3168"/>
          </w:tcPr>
          <w:p>
            <w:r/>
            <w:r>
              <w:rPr>
                <w:sz w:val="21"/>
              </w:rPr>
              <w:t>Principal (final sign-off)</w:t>
            </w:r>
          </w:p>
        </w:tc>
        <w:tc>
          <w:tcPr>
            <w:tcW w:type="dxa" w:w="2736"/>
          </w:tcPr>
          <w:p>
            <w:r/>
            <w:r>
              <w:rPr>
                <w:sz w:val="21"/>
              </w:rPr>
              <w:t>“Final approve” or “Final reject”</w:t>
            </w:r>
          </w:p>
        </w:tc>
      </w:tr>
    </w:tbl>
    <w:p/>
    <w:p>
      <w:r>
        <w:rPr>
          <w:b w:val="0"/>
          <w:i w:val="0"/>
        </w:rPr>
        <w:t>The Director's screen only shows action buttons for appraisals sitting at stage 1 or 2 — the ones the Director is authorised to act on. The Admin's screen (titled “PBAS Final Approval”) only ever shows appraisals already at stage 3, waiting on the Principal. If the person signed in as Admin is not separately recorded as holding the Principal role, the system requires them to type a written justification before the approval is allowed, and logs this as an exception for audit purposes.</w:t>
      </w:r>
    </w:p>
    <w:p>
      <w:pPr>
        <w:pStyle w:val="Heading2"/>
      </w:pPr>
      <w:r>
        <w:t>4.2 What happens on rejection</w:t>
      </w:r>
    </w:p>
    <w:p>
      <w:r>
        <w:rPr>
          <w:b w:val="0"/>
          <w:i w:val="0"/>
        </w:rPr>
        <w:t>A rejection at any of the three stages sends the appraisal straight to “Rejected” status. It then becomes an editable draft again for the Faculty member, who can see the reviewer's remarks, make corrections, and resubmit. Resubmitting restarts the review from the very first stage (Department Head Review) — it does not pick up from wherever it was rejected.</w:t>
      </w:r>
    </w:p>
    <w:p>
      <w:pPr>
        <w:pStyle w:val="Heading2"/>
      </w:pPr>
      <w:r>
        <w:t>4.3 The five-step appraisal form</w:t>
      </w:r>
    </w:p>
    <w:p>
      <w:pPr>
        <w:pStyle w:val="ListNumber"/>
      </w:pPr>
      <w:r>
        <w:rPr>
          <w:b/>
        </w:rPr>
        <w:t>Application Details</w:t>
      </w:r>
      <w:r>
        <w:t xml:space="preserve"> — academic year, current designation, appraisal period dates.</w:t>
      </w:r>
    </w:p>
    <w:p>
      <w:pPr>
        <w:pStyle w:val="ListNumber"/>
      </w:pPr>
      <w:r>
        <w:rPr>
          <w:b/>
        </w:rPr>
        <w:t>Teaching Sources</w:t>
      </w:r>
      <w:r>
        <w:t xml:space="preserve"> — classes taken, course preparation, courses taught, mentoring, lab supervision.</w:t>
      </w:r>
    </w:p>
    <w:p>
      <w:pPr>
        <w:pStyle w:val="ListNumber"/>
      </w:pPr>
      <w:r>
        <w:rPr>
          <w:b/>
        </w:rPr>
        <w:t>Research Sources</w:t>
      </w:r>
      <w:r>
        <w:t xml:space="preserve"> — publications, books, patents, research projects, conferences, PhD guidance, consultancy, e-content, MOOC/SWAYAM courses, awards.</w:t>
      </w:r>
    </w:p>
    <w:p>
      <w:pPr>
        <w:pStyle w:val="ListNumber"/>
      </w:pPr>
      <w:r>
        <w:rPr>
          <w:b/>
        </w:rPr>
        <w:t>Institutional Sources</w:t>
      </w:r>
      <w:r>
        <w:t xml:space="preserve"> — committee memberships, administrative duties, exam duties, student guidance, extension and outreach activities.</w:t>
      </w:r>
    </w:p>
    <w:p>
      <w:pPr>
        <w:pStyle w:val="ListNumber"/>
      </w:pPr>
      <w:r>
        <w:rPr>
          <w:b/>
        </w:rPr>
        <w:t>Score and Review</w:t>
      </w:r>
      <w:r>
        <w:t xml:space="preserve"> — shows the calculated performance score, supporting evidence, and the final submission action.</w:t>
      </w:r>
    </w:p>
    <w:p>
      <w:pPr>
        <w:pStyle w:val="Heading2"/>
      </w:pPr>
      <w:r>
        <w:t>4.4 A closer look at how PBAS is reviewed</w:t>
      </w:r>
    </w:p>
    <w:p>
      <w:r>
        <w:rPr>
          <w:b w:val="0"/>
          <w:i w:val="0"/>
        </w:rPr>
        <w:t>PBAS has one extra capability that CAS does not: while an appraisal is at the Department Head or Committee stage, the reviewer can open a “Moderate indicator scores” panel and adjust the score claimed for each individual activity (a specific teaching hour count, a specific publication, a specific committee role, and so on), with their own remarks attached — effectively checking and correcting each claim line by line, not just approving the form as a whole. This ability is switched off once the appraisal reaches the Principal's final-approval stage — by that point, the Admin/Principal can only give an overall sign-off and cannot change individual scores.</w:t>
      </w:r>
    </w:p>
    <w:p>
      <w:r>
        <w:br w:type="page"/>
      </w:r>
    </w:p>
    <w:p>
      <w:pPr>
        <w:pStyle w:val="Heading1"/>
      </w:pPr>
      <w:r>
        <w:t>5. CAS — Career Advancement Scheme</w:t>
      </w:r>
    </w:p>
    <w:p>
      <w:r>
        <w:rPr>
          <w:b w:val="0"/>
          <w:i w:val="0"/>
        </w:rPr>
        <w:t>CAS is the promotion application a Faculty member submits when they are ready to move up to their next academic designation. It uses the exact same three-stage review chain as PBAS (Department Head Review → Committee Review → Principal Approval), with the middle checkpoint referred to as the “CAS Screening Committee.” The same status names, the same button labels, and the same rejection/resubmission behaviour described in the PBAS section above apply here too.</w:t>
      </w:r>
    </w:p>
    <w:p>
      <w:pPr>
        <w:pStyle w:val="Heading2"/>
      </w:pPr>
      <w:r>
        <w:t>5.1 The one key difference from PBAS</w:t>
      </w:r>
    </w:p>
    <w:p>
      <w:r>
        <w:rPr>
          <w:b w:val="0"/>
          <w:i w:val="0"/>
        </w:rPr>
        <w:t>CAS has no line-item score moderation. Reviewers — Director or Admin — can only approve, forward, or reject the whole application, with general remarks. The CAS score itself is calculated automatically by a fixed formula, not manually adjusted by any reviewer.</w:t>
      </w:r>
    </w:p>
    <w:p>
      <w:pPr>
        <w:pStyle w:val="Heading2"/>
      </w:pPr>
      <w:r>
        <w:t>5.2 CAS depends directly on an approved PBAS</w:t>
      </w:r>
    </w:p>
    <w:p>
      <w:r>
        <w:rPr>
          <w:b w:val="0"/>
          <w:i w:val="0"/>
        </w:rPr>
        <w:t>PBAS and CAS are connected in three concrete ways:</w:t>
      </w:r>
    </w:p>
    <w:p>
      <w:pPr>
        <w:pStyle w:val="ListBullet"/>
      </w:pPr>
      <w:r>
        <w:rPr>
          <w:b/>
        </w:rPr>
        <w:t>Eligibility gate:</w:t>
      </w:r>
      <w:r>
        <w:t xml:space="preserve"> a Faculty member is only told they are eligible for CAS if they already have at least one PBAS appraisal in “Approved” status, meeting a minimum score and a minimum years-of-experience requirement for the promotion they are applying for. Without an approved PBAS, the system explains: “Submit and get PBAS approved before applying for CAS.”</w:t>
      </w:r>
    </w:p>
    <w:p>
      <w:pPr>
        <w:pStyle w:val="ListBullet"/>
      </w:pPr>
      <w:r>
        <w:rPr>
          <w:b/>
        </w:rPr>
        <w:t>Score contribution:</w:t>
      </w:r>
      <w:r>
        <w:t xml:space="preserve"> while filling in CAS, the Faculty member attaches specific approved PBAS reports (in the “PBAS Reports” step). The scores from those reports are pulled directly into the CAS application's own score — PBAS teaching activity feeds the CAS Teaching &amp; Learning score, PBAS research feeds CAS Research &amp; Publication, and PBAS institutional responsibilities feed CAS Academic Contribution.</w:t>
      </w:r>
    </w:p>
    <w:p>
      <w:pPr>
        <w:pStyle w:val="ListBullet"/>
      </w:pPr>
      <w:r>
        <w:rPr>
          <w:b/>
        </w:rPr>
        <w:t>Re-checked at submission:</w:t>
      </w:r>
      <w:r>
        <w:t xml:space="preserve"> when the Faculty member actually submits the CAS application (not just saves a draft), the system checks again that every attached PBAS report is specifically “Approved” — if even one is not, submission is blocked until it is.</w:t>
      </w:r>
    </w:p>
    <w:p>
      <w:pPr>
        <w:pStyle w:val="Heading2"/>
      </w:pPr>
      <w:r>
        <w:t>5.3 The eight-step application form</w:t>
      </w:r>
    </w:p>
    <w:p>
      <w:pPr>
        <w:pStyle w:val="ListNumber"/>
      </w:pPr>
      <w:r>
        <w:rPr>
          <w:b/>
        </w:rPr>
        <w:t>Basic Details</w:t>
      </w:r>
      <w:r/>
    </w:p>
    <w:p>
      <w:pPr>
        <w:pStyle w:val="ListNumber"/>
      </w:pPr>
      <w:r>
        <w:rPr>
          <w:b/>
        </w:rPr>
        <w:t>Eligibility Period</w:t>
      </w:r>
      <w:r/>
    </w:p>
    <w:p>
      <w:pPr>
        <w:pStyle w:val="ListNumber"/>
      </w:pPr>
      <w:r>
        <w:rPr>
          <w:b/>
        </w:rPr>
        <w:t>PBAS Reports</w:t>
      </w:r>
      <w:r>
        <w:t xml:space="preserve"> — where the Faculty member links in their approved PBAS records, as described above.</w:t>
      </w:r>
    </w:p>
    <w:p>
      <w:pPr>
        <w:pStyle w:val="ListNumber"/>
      </w:pPr>
      <w:r>
        <w:rPr>
          <w:b/>
        </w:rPr>
        <w:t>Publications</w:t>
      </w:r>
      <w:r/>
    </w:p>
    <w:p>
      <w:pPr>
        <w:pStyle w:val="ListNumber"/>
      </w:pPr>
      <w:r>
        <w:rPr>
          <w:b/>
        </w:rPr>
        <w:t>Books and Projects</w:t>
      </w:r>
      <w:r/>
    </w:p>
    <w:p>
      <w:pPr>
        <w:pStyle w:val="ListNumber"/>
      </w:pPr>
      <w:r>
        <w:rPr>
          <w:b/>
        </w:rPr>
        <w:t>Academic Contributions</w:t>
      </w:r>
      <w:r/>
    </w:p>
    <w:p>
      <w:pPr>
        <w:pStyle w:val="ListNumber"/>
      </w:pPr>
      <w:r>
        <w:rPr>
          <w:b/>
        </w:rPr>
        <w:t>Documents</w:t>
      </w:r>
      <w:r>
        <w:t xml:space="preserve"> — the required supporting documents are the PBAS Consolidated Report, an Experience Certificate, and Qualification Proof; the application cannot be submitted until all three are attached.</w:t>
      </w:r>
    </w:p>
    <w:p>
      <w:pPr>
        <w:pStyle w:val="ListNumber"/>
      </w:pPr>
      <w:r>
        <w:rPr>
          <w:b/>
        </w:rPr>
        <w:t>Review and Submit</w:t>
      </w:r>
      <w:r/>
    </w:p>
    <w:p>
      <w:r>
        <w:br w:type="page"/>
      </w:r>
    </w:p>
    <w:p>
      <w:pPr>
        <w:pStyle w:val="Heading1"/>
      </w:pPr>
      <w:r>
        <w:t>6. AQAR — Annual Quality Assurance Report</w:t>
      </w:r>
    </w:p>
    <w:p>
      <w:r>
        <w:rPr>
          <w:b w:val="0"/>
          <w:i w:val="0"/>
        </w:rPr>
        <w:t>AQAR is the yearly report a Faculty member completes documenting their own quality-related activity for the year — teaching, research output, community and outreach work, and professional development — as part of the institution's overall NAAC accreditation submission. Each Faculty member's individual AQAR record, once fully approved, feeds into the institution's combined annual report.</w:t>
      </w:r>
    </w:p>
    <w:p>
      <w:pPr>
        <w:pStyle w:val="Heading2"/>
      </w:pPr>
      <w:r>
        <w:t>6.1 Who is involved, and in what order</w:t>
      </w:r>
    </w:p>
    <w:p>
      <w:r>
        <w:rPr>
          <w:b w:val="0"/>
          <w:i w:val="0"/>
        </w:rPr>
        <w:t>AQAR uses a four-stage review chain — one stage more than PBAS and CAS — because it adds a distinct committee/IQAC checkpoint between the department-level review and the final Principal sign-off:</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2160"/>
            <w:shd w:val="clear" w:color="auto" w:fill="1F3354"/>
          </w:tcPr>
          <w:p>
            <w:r/>
            <w:r>
              <w:rPr>
                <w:b/>
                <w:color w:val="FFFFFF"/>
                <w:sz w:val="21"/>
              </w:rPr>
              <w:t>Stage</w:t>
            </w:r>
          </w:p>
        </w:tc>
        <w:tc>
          <w:tcPr>
            <w:tcW w:type="dxa" w:w="1872"/>
            <w:shd w:val="clear" w:color="auto" w:fill="1F3354"/>
          </w:tcPr>
          <w:p>
            <w:r/>
            <w:r>
              <w:rPr>
                <w:b/>
                <w:color w:val="FFFFFF"/>
                <w:sz w:val="21"/>
              </w:rPr>
              <w:t>Status Shown</w:t>
            </w:r>
          </w:p>
        </w:tc>
        <w:tc>
          <w:tcPr>
            <w:tcW w:type="dxa" w:w="3312"/>
            <w:shd w:val="clear" w:color="auto" w:fill="1F3354"/>
          </w:tcPr>
          <w:p>
            <w:r/>
            <w:r>
              <w:rPr>
                <w:b/>
                <w:color w:val="FFFFFF"/>
                <w:sz w:val="21"/>
              </w:rPr>
              <w:t>Who Can Act</w:t>
            </w:r>
          </w:p>
        </w:tc>
        <w:tc>
          <w:tcPr>
            <w:tcW w:type="dxa" w:w="2736"/>
            <w:shd w:val="clear" w:color="auto" w:fill="1F3354"/>
          </w:tcPr>
          <w:p>
            <w:r/>
            <w:r>
              <w:rPr>
                <w:b/>
                <w:color w:val="FFFFFF"/>
                <w:sz w:val="21"/>
              </w:rPr>
              <w:t>Button They Click</w:t>
            </w:r>
          </w:p>
        </w:tc>
      </w:tr>
      <w:tr>
        <w:tc>
          <w:tcPr>
            <w:tcW w:type="dxa" w:w="2160"/>
          </w:tcPr>
          <w:p>
            <w:r/>
            <w:r>
              <w:rPr>
                <w:sz w:val="21"/>
              </w:rPr>
              <w:t>1. Faculty prepares</w:t>
            </w:r>
          </w:p>
        </w:tc>
        <w:tc>
          <w:tcPr>
            <w:tcW w:type="dxa" w:w="1872"/>
          </w:tcPr>
          <w:p>
            <w:r/>
            <w:r>
              <w:rPr>
                <w:sz w:val="21"/>
              </w:rPr>
              <w:t>Draft</w:t>
            </w:r>
          </w:p>
        </w:tc>
        <w:tc>
          <w:tcPr>
            <w:tcW w:type="dxa" w:w="3312"/>
          </w:tcPr>
          <w:p>
            <w:r/>
            <w:r>
              <w:rPr>
                <w:sz w:val="21"/>
              </w:rPr>
              <w:t>Faculty (owner)</w:t>
            </w:r>
          </w:p>
        </w:tc>
        <w:tc>
          <w:tcPr>
            <w:tcW w:type="dxa" w:w="2736"/>
          </w:tcPr>
          <w:p>
            <w:r/>
            <w:r>
              <w:rPr>
                <w:sz w:val="21"/>
              </w:rPr>
              <w:t>“Submit report” (autosaves while editing)</w:t>
            </w:r>
          </w:p>
        </w:tc>
      </w:tr>
      <w:tr>
        <w:tc>
          <w:tcPr>
            <w:tcW w:type="dxa" w:w="2160"/>
          </w:tcPr>
          <w:p>
            <w:r/>
            <w:r>
              <w:rPr>
                <w:sz w:val="21"/>
              </w:rPr>
              <w:t>2. Department review</w:t>
            </w:r>
          </w:p>
        </w:tc>
        <w:tc>
          <w:tcPr>
            <w:tcW w:type="dxa" w:w="1872"/>
          </w:tcPr>
          <w:p>
            <w:r/>
            <w:r>
              <w:rPr>
                <w:sz w:val="21"/>
              </w:rPr>
              <w:t>Submitted</w:t>
            </w:r>
          </w:p>
        </w:tc>
        <w:tc>
          <w:tcPr>
            <w:tcW w:type="dxa" w:w="3312"/>
          </w:tcPr>
          <w:p>
            <w:r/>
            <w:r>
              <w:rPr>
                <w:sz w:val="21"/>
              </w:rPr>
              <w:t>Department Head or Director</w:t>
            </w:r>
          </w:p>
        </w:tc>
        <w:tc>
          <w:tcPr>
            <w:tcW w:type="dxa" w:w="2736"/>
          </w:tcPr>
          <w:p>
            <w:r/>
            <w:r>
              <w:rPr>
                <w:sz w:val="21"/>
              </w:rPr>
              <w:t>“Move to Under Review” or “Reject”</w:t>
            </w:r>
          </w:p>
        </w:tc>
      </w:tr>
      <w:tr>
        <w:tc>
          <w:tcPr>
            <w:tcW w:type="dxa" w:w="2160"/>
          </w:tcPr>
          <w:p>
            <w:r/>
            <w:r>
              <w:rPr>
                <w:sz w:val="21"/>
              </w:rPr>
              <w:t>3. Committee review</w:t>
            </w:r>
          </w:p>
        </w:tc>
        <w:tc>
          <w:tcPr>
            <w:tcW w:type="dxa" w:w="1872"/>
          </w:tcPr>
          <w:p>
            <w:r/>
            <w:r>
              <w:rPr>
                <w:sz w:val="21"/>
              </w:rPr>
              <w:t>Under Review</w:t>
            </w:r>
          </w:p>
        </w:tc>
        <w:tc>
          <w:tcPr>
            <w:tcW w:type="dxa" w:w="3312"/>
          </w:tcPr>
          <w:p>
            <w:r/>
            <w:r>
              <w:rPr>
                <w:sz w:val="21"/>
              </w:rPr>
              <w:t>AQAR Committee, IQAC, or Director</w:t>
            </w:r>
          </w:p>
        </w:tc>
        <w:tc>
          <w:tcPr>
            <w:tcW w:type="dxa" w:w="2736"/>
          </w:tcPr>
          <w:p>
            <w:r/>
            <w:r>
              <w:rPr>
                <w:sz w:val="21"/>
              </w:rPr>
              <w:t>“Move to Committee Review” or “Reject”</w:t>
            </w:r>
          </w:p>
        </w:tc>
      </w:tr>
      <w:tr>
        <w:tc>
          <w:tcPr>
            <w:tcW w:type="dxa" w:w="2160"/>
          </w:tcPr>
          <w:p>
            <w:r/>
            <w:r>
              <w:rPr>
                <w:sz w:val="21"/>
              </w:rPr>
              <w:t>4. Final approval</w:t>
            </w:r>
          </w:p>
        </w:tc>
        <w:tc>
          <w:tcPr>
            <w:tcW w:type="dxa" w:w="1872"/>
          </w:tcPr>
          <w:p>
            <w:r/>
            <w:r>
              <w:rPr>
                <w:sz w:val="21"/>
              </w:rPr>
              <w:t>Committee Review</w:t>
            </w:r>
          </w:p>
        </w:tc>
        <w:tc>
          <w:tcPr>
            <w:tcW w:type="dxa" w:w="3312"/>
          </w:tcPr>
          <w:p>
            <w:r/>
            <w:r>
              <w:rPr>
                <w:sz w:val="21"/>
              </w:rPr>
              <w:t>Principal or Admin</w:t>
            </w:r>
          </w:p>
        </w:tc>
        <w:tc>
          <w:tcPr>
            <w:tcW w:type="dxa" w:w="2736"/>
          </w:tcPr>
          <w:p>
            <w:r/>
            <w:r>
              <w:rPr>
                <w:sz w:val="21"/>
              </w:rPr>
              <w:t>“Final approve” or “Final reject”</w:t>
            </w:r>
          </w:p>
        </w:tc>
      </w:tr>
    </w:tbl>
    <w:p/>
    <w:p>
      <w:r>
        <w:rPr>
          <w:b w:val="0"/>
          <w:i w:val="0"/>
        </w:rPr>
        <w:t>A rejection at any of the three review stages sends the report straight to “Rejected,” shown to the Faculty member with a clear “Resubmission required” message and the reviewer's remarks. Correcting and resubmitting restarts the review from the top. One Faculty member can only have one AQAR report open per academic year.</w:t>
      </w:r>
    </w:p>
    <w:p>
      <w:r>
        <w:rPr>
          <w:b w:val="0"/>
          <w:i w:val="0"/>
        </w:rPr>
        <w:t>A special exception exists: an Admin with a specific override permission can act on a report at any stage, bypassing the normal order, but only after typing a reason — this is logged separately as an override for audit purposes and is meant for genuine exceptions, not routine use.</w:t>
      </w:r>
    </w:p>
    <w:p>
      <w:pPr>
        <w:pStyle w:val="Heading2"/>
      </w:pPr>
      <w:r>
        <w:t>6.2 The seven-step report form</w:t>
      </w:r>
    </w:p>
    <w:p>
      <w:pPr>
        <w:pStyle w:val="ListNumber"/>
      </w:pPr>
      <w:r>
        <w:rPr>
          <w:b/>
        </w:rPr>
        <w:t>Overview</w:t>
      </w:r>
      <w:r>
        <w:t xml:space="preserve"> — the academic year and reporting period this report covers. A “Reload from profile” button can automatically pull in records the Faculty member already entered elsewhere in their profile, saving re-typing.</w:t>
      </w:r>
    </w:p>
    <w:p>
      <w:pPr>
        <w:pStyle w:val="ListNumber"/>
      </w:pPr>
      <w:r>
        <w:rPr>
          <w:b/>
        </w:rPr>
        <w:t>Research Papers</w:t>
      </w:r>
      <w:r>
        <w:t xml:space="preserve"> — journal or conference articles published in the year, with proof of publication.</w:t>
      </w:r>
    </w:p>
    <w:p>
      <w:pPr>
        <w:pStyle w:val="ListNumber"/>
      </w:pPr>
      <w:r>
        <w:rPr>
          <w:b/>
        </w:rPr>
        <w:t>Projects</w:t>
      </w:r>
      <w:r>
        <w:t xml:space="preserve"> — institution-funded research or innovation projects, including funding source and amount.</w:t>
      </w:r>
    </w:p>
    <w:p>
      <w:pPr>
        <w:pStyle w:val="ListNumber"/>
      </w:pPr>
      <w:r>
        <w:rPr>
          <w:b/>
        </w:rPr>
        <w:t>Awards and Fellows</w:t>
      </w:r>
      <w:r>
        <w:t xml:space="preserve"> — awards and recognitions received, fellowships held, and research fellows supervised.</w:t>
      </w:r>
    </w:p>
    <w:p>
      <w:pPr>
        <w:pStyle w:val="ListNumber"/>
      </w:pPr>
      <w:r>
        <w:rPr>
          <w:b/>
        </w:rPr>
        <w:t>Patents and PhD</w:t>
      </w:r>
      <w:r>
        <w:t xml:space="preserve"> — patents filed, and doctoral scholars guided to completion.</w:t>
      </w:r>
    </w:p>
    <w:p>
      <w:pPr>
        <w:pStyle w:val="ListNumber"/>
      </w:pPr>
      <w:r>
        <w:rPr>
          <w:b/>
        </w:rPr>
        <w:t>Books and Outreach</w:t>
      </w:r>
      <w:r>
        <w:t xml:space="preserve"> — books/chapters published, e-content developed, consultancy work, conference support received, and professional development programmes attended.</w:t>
      </w:r>
    </w:p>
    <w:p>
      <w:pPr>
        <w:pStyle w:val="ListNumber"/>
      </w:pPr>
      <w:r>
        <w:rPr>
          <w:b/>
        </w:rPr>
        <w:t>Review and Submit</w:t>
      </w:r>
      <w:r>
        <w:t xml:space="preserve"> — a summary of everything entered, a checklist confirming the Faculty member has verified the information, and the final submit action.</w:t>
      </w:r>
    </w:p>
    <w:p>
      <w:r>
        <w:rPr>
          <w:b w:val="0"/>
          <w:i w:val="0"/>
        </w:rPr>
        <w:t>Every one of these sections includes a place to attach a supporting document, since NAAC requires proof for each claim made.</w:t>
      </w:r>
    </w:p>
    <w:p>
      <w:pPr>
        <w:pStyle w:val="Heading2"/>
      </w:pPr>
      <w:r>
        <w:t>6.3 The automatic “Contribution Index”</w:t>
      </w:r>
    </w:p>
    <w:p>
      <w:r>
        <w:rPr>
          <w:b w:val="0"/>
          <w:i w:val="0"/>
        </w:rPr>
        <w:t>The system automatically calculates a single “Contribution Index” score for each report, based on how many items are entered in each category (weighted so that, for example, a published research paper counts for more than a single conference attended). This number is visible to the Faculty member throughout, and to every reviewer along the approval chain, so everyone sees the same headline figure for how substantial a given year's contribution was. A completely empty report — one with a Contribution Index of zero — cannot be submitted at all.</w:t>
      </w:r>
    </w:p>
    <w:p>
      <w:pPr>
        <w:pStyle w:val="Heading2"/>
      </w:pPr>
      <w:r>
        <w:t>6.4 Read-only summary and PDF</w:t>
      </w:r>
    </w:p>
    <w:p>
      <w:r>
        <w:rPr>
          <w:b w:val="0"/>
          <w:i w:val="0"/>
        </w:rPr>
        <w:t>Once submitted, the report becomes fully read-only for the Faculty member until it is either approved or sent back. Before submitting, and at any time after, the Faculty member can download a formatted PDF version of the report showing their details, the reporting period, current status, category counts, and the Contribution Index — suitable for printing or filing.</w:t>
      </w:r>
    </w:p>
    <w:p>
      <w:r>
        <w:br w:type="page"/>
      </w:r>
    </w:p>
    <w:p>
      <w:pPr>
        <w:pStyle w:val="Heading1"/>
      </w:pPr>
      <w:r>
        <w:t>7. NIRF — National Institutional Ranking Framework</w:t>
      </w:r>
    </w:p>
    <w:p>
      <w:r>
        <w:rPr>
          <w:b w:val="0"/>
          <w:i w:val="0"/>
        </w:rPr>
        <w:t>NIRF is the Government of India's annual institutional ranking exercise — separate from NAAC accreditation, though the two are related. In this system, NIRF is handled entirely differently from PBAS, CAS, and AQAR: it is a back-office record-keeping and score-calculation tool used only by the Admin team, with no submission-and-review chain and no Faculty or Student involvement at all.</w:t>
      </w:r>
    </w:p>
    <w:p>
      <w:pPr>
        <w:pStyle w:val="Heading2"/>
      </w:pPr>
      <w:r>
        <w:t>7.1 Who is involved</w:t>
      </w:r>
    </w:p>
    <w:p>
      <w:pPr>
        <w:pStyle w:val="ListBullet"/>
      </w:pPr>
      <w:r>
        <w:rPr>
          <w:b/>
        </w:rPr>
        <w:t>Admin</w:t>
      </w:r>
      <w:r>
        <w:t xml:space="preserve"> is the only role that can create or change anything in the NIRF module.</w:t>
      </w:r>
    </w:p>
    <w:p>
      <w:pPr>
        <w:pStyle w:val="ListBullet"/>
      </w:pPr>
      <w:r>
        <w:rPr>
          <w:b/>
        </w:rPr>
        <w:t>Director</w:t>
      </w:r>
      <w:r>
        <w:t xml:space="preserve"> has read-only visibility — a summary dashboard of ranking cycles and scores, with an option to export the data to a spreadsheet file, but no ability to enter or change data.</w:t>
      </w:r>
    </w:p>
    <w:p>
      <w:pPr>
        <w:pStyle w:val="ListBullet"/>
      </w:pPr>
      <w:r>
        <w:rPr>
          <w:b/>
        </w:rPr>
        <w:t>Faculty and Students have no access to this module at all</w:t>
      </w:r>
      <w:r>
        <w:t xml:space="preserve"> and never see a NIRF screen. The performance data behind NIRF (research output, placement figures, faculty numbers, and so on) is produced elsewhere in the system through the normal Faculty/Student/Director workflows, and an administrator manually brings the relevant figures into the NIRF workbook — it is not pulled in automatically.</w:t>
      </w:r>
    </w:p>
    <w:p>
      <w:pPr>
        <w:pStyle w:val="Heading2"/>
      </w:pPr>
      <w:r>
        <w:t>7.2 What the process looks like</w:t>
      </w:r>
    </w:p>
    <w:p>
      <w:pPr>
        <w:pStyle w:val="ListNumber"/>
      </w:pPr>
      <w:r>
        <w:t>Admin opens a “ranking cycle” for a specific year and category (for example, “2027 — Engineering”), setting the submission window dates. The five official national scoring categories — Teaching &amp; Learning, Research &amp; Professional Practice, Graduation Outcomes, Outreach &amp; Inclusivity, and Perception — are pre-loaded automatically with their official weightings.</w:t>
      </w:r>
    </w:p>
    <w:p>
      <w:pPr>
        <w:pStyle w:val="ListNumber"/>
      </w:pPr>
      <w:r>
        <w:t>Admin enters the institution's actual figures for each individual scoring item under those five categories (for example, the faculty-to-student ratio, or the number of research publications), along with any supporting evidence.</w:t>
      </w:r>
    </w:p>
    <w:p>
      <w:pPr>
        <w:pStyle w:val="ListNumber"/>
      </w:pPr>
      <w:r>
        <w:t>The system automatically calculates a score for each item, rolls those up into a score per category, and combines them into one overall composite score and a predicted rank — there is no separate “calculate” button to press; it happens as soon as the entry is saved.</w:t>
      </w:r>
    </w:p>
    <w:p>
      <w:pPr>
        <w:pStyle w:val="ListNumber"/>
      </w:pPr>
      <w:r>
        <w:t>Admin can optionally record how competitor institutions scored, for comparison, and how much each of the institution's own departments contributed to a given category, for internal reference.</w:t>
      </w:r>
    </w:p>
    <w:p>
      <w:pPr>
        <w:pStyle w:val="ListNumber"/>
      </w:pPr>
      <w:r>
        <w:t>Admin can optionally record the institution's ranking history from previous years, to track whether the trend is improving, declining, or steady.</w:t>
      </w:r>
    </w:p>
    <w:p>
      <w:pPr>
        <w:pStyle w:val="ListNumber"/>
      </w:pPr>
      <w:r>
        <w:t>Once the actual filing has been done outside the system (NIRF submissions go through the government's own portal, which this system does not connect to), the Admin logs that fact — who filed it, when, and the government's reference number — as a record-keeping note, and updates the cycle's status as results become known.</w:t>
      </w:r>
    </w:p>
    <w:p>
      <w:r>
        <w:rPr>
          <w:b w:val="0"/>
          <w:i w:val="0"/>
        </w:rPr>
        <w:t>There is no multi-person review or approval step in NIRF — unlike PBAS, CAS, and AQAR, it is single-role data entry by the Admin team from start to finish.</w:t>
      </w:r>
    </w:p>
    <w:p>
      <w:pPr>
        <w:pStyle w:val="Heading2"/>
      </w:pPr>
      <w:r>
        <w:t>7.3 How NIRF connects to NAAC reporting</w:t>
      </w:r>
    </w:p>
    <w:p>
      <w:r>
        <w:rPr>
          <w:b w:val="0"/>
          <w:i w:val="0"/>
        </w:rPr>
        <w:t>NIRF is a separate exercise from the NAAC accreditation data warehouse, but two figures — the institution's NIRF composite score and its NIRF rank — are automatically carried over into the NAAC report, so the Admin team does not have to type the same numbers twice.</w:t>
      </w:r>
    </w:p>
    <w:p>
      <w:r>
        <w:br w:type="page"/>
      </w:r>
    </w:p>
    <w:p>
      <w:pPr>
        <w:pStyle w:val="Heading1"/>
      </w:pPr>
      <w:r>
        <w:t>8. Who Does What — Cross-Module Summary</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tblGrid>
      <w:tr>
        <w:tc>
          <w:tcPr>
            <w:tcW w:type="dxa" w:w="2448"/>
            <w:shd w:val="clear" w:color="auto" w:fill="1F3354"/>
          </w:tcPr>
          <w:p>
            <w:r/>
            <w:r>
              <w:rPr>
                <w:b/>
                <w:color w:val="FFFFFF"/>
                <w:sz w:val="21"/>
              </w:rPr>
              <w:t>Module</w:t>
            </w:r>
          </w:p>
        </w:tc>
        <w:tc>
          <w:tcPr>
            <w:tcW w:type="dxa" w:w="2160"/>
            <w:shd w:val="clear" w:color="auto" w:fill="1F3354"/>
          </w:tcPr>
          <w:p>
            <w:r/>
            <w:r>
              <w:rPr>
                <w:b/>
                <w:color w:val="FFFFFF"/>
                <w:sz w:val="21"/>
              </w:rPr>
              <w:t>Student</w:t>
            </w:r>
          </w:p>
        </w:tc>
        <w:tc>
          <w:tcPr>
            <w:tcW w:type="dxa" w:w="2448"/>
            <w:shd w:val="clear" w:color="auto" w:fill="1F3354"/>
          </w:tcPr>
          <w:p>
            <w:r/>
            <w:r>
              <w:rPr>
                <w:b/>
                <w:color w:val="FFFFFF"/>
                <w:sz w:val="21"/>
              </w:rPr>
              <w:t>Faculty</w:t>
            </w:r>
          </w:p>
        </w:tc>
        <w:tc>
          <w:tcPr>
            <w:tcW w:type="dxa" w:w="2448"/>
            <w:shd w:val="clear" w:color="auto" w:fill="1F3354"/>
          </w:tcPr>
          <w:p>
            <w:r/>
            <w:r>
              <w:rPr>
                <w:b/>
                <w:color w:val="FFFFFF"/>
                <w:sz w:val="21"/>
              </w:rPr>
              <w:t>Director</w:t>
            </w:r>
          </w:p>
        </w:tc>
        <w:tc>
          <w:tcPr>
            <w:tcW w:type="dxa" w:w="2160"/>
            <w:shd w:val="clear" w:color="auto" w:fill="1F3354"/>
          </w:tcPr>
          <w:p>
            <w:r/>
            <w:r>
              <w:rPr>
                <w:b/>
                <w:color w:val="FFFFFF"/>
                <w:sz w:val="21"/>
              </w:rPr>
              <w:t>Admin</w:t>
            </w:r>
          </w:p>
        </w:tc>
      </w:tr>
      <w:tr>
        <w:tc>
          <w:tcPr>
            <w:tcW w:type="dxa" w:w="2448"/>
          </w:tcPr>
          <w:p>
            <w:r/>
            <w:r>
              <w:rPr>
                <w:sz w:val="21"/>
              </w:rPr>
              <w:t>Student Records / Profile / SSR / SSS</w:t>
            </w:r>
          </w:p>
        </w:tc>
        <w:tc>
          <w:tcPr>
            <w:tcW w:type="dxa" w:w="2160"/>
          </w:tcPr>
          <w:p>
            <w:r/>
            <w:r>
              <w:rPr>
                <w:sz w:val="21"/>
              </w:rPr>
              <w:t>Enters own data &amp; submits</w:t>
            </w:r>
          </w:p>
        </w:tc>
        <w:tc>
          <w:tcPr>
            <w:tcW w:type="dxa" w:w="2448"/>
          </w:tcPr>
          <w:p>
            <w:r/>
            <w:r>
              <w:rPr>
                <w:sz w:val="21"/>
              </w:rPr>
              <w:t>—</w:t>
            </w:r>
          </w:p>
        </w:tc>
        <w:tc>
          <w:tcPr>
            <w:tcW w:type="dxa" w:w="2448"/>
          </w:tcPr>
          <w:p>
            <w:r/>
            <w:r>
              <w:rPr>
                <w:sz w:val="21"/>
              </w:rPr>
              <w:t>—</w:t>
            </w:r>
          </w:p>
        </w:tc>
        <w:tc>
          <w:tcPr>
            <w:tcW w:type="dxa" w:w="2160"/>
          </w:tcPr>
          <w:p>
            <w:r/>
            <w:r>
              <w:rPr>
                <w:sz w:val="21"/>
              </w:rPr>
              <w:t>Maintains master data lists</w:t>
            </w:r>
          </w:p>
        </w:tc>
      </w:tr>
      <w:tr>
        <w:tc>
          <w:tcPr>
            <w:tcW w:type="dxa" w:w="2448"/>
          </w:tcPr>
          <w:p>
            <w:r/>
            <w:r>
              <w:rPr>
                <w:sz w:val="21"/>
              </w:rPr>
              <w:t>PBAS</w:t>
            </w:r>
          </w:p>
        </w:tc>
        <w:tc>
          <w:tcPr>
            <w:tcW w:type="dxa" w:w="2160"/>
          </w:tcPr>
          <w:p>
            <w:r/>
            <w:r>
              <w:rPr>
                <w:sz w:val="21"/>
              </w:rPr>
              <w:t>—</w:t>
            </w:r>
          </w:p>
        </w:tc>
        <w:tc>
          <w:tcPr>
            <w:tcW w:type="dxa" w:w="2448"/>
          </w:tcPr>
          <w:p>
            <w:r/>
            <w:r>
              <w:rPr>
                <w:sz w:val="21"/>
              </w:rPr>
              <w:t>Creates, submits, resubmits</w:t>
            </w:r>
          </w:p>
        </w:tc>
        <w:tc>
          <w:tcPr>
            <w:tcW w:type="dxa" w:w="2448"/>
          </w:tcPr>
          <w:p>
            <w:r/>
            <w:r>
              <w:rPr>
                <w:sz w:val="21"/>
              </w:rPr>
              <w:t>Reviews (stages 1–2), can score individual claims</w:t>
            </w:r>
          </w:p>
        </w:tc>
        <w:tc>
          <w:tcPr>
            <w:tcW w:type="dxa" w:w="2160"/>
          </w:tcPr>
          <w:p>
            <w:r/>
            <w:r>
              <w:rPr>
                <w:sz w:val="21"/>
              </w:rPr>
              <w:t>Final sign-off (stage 3)</w:t>
            </w:r>
          </w:p>
        </w:tc>
      </w:tr>
      <w:tr>
        <w:tc>
          <w:tcPr>
            <w:tcW w:type="dxa" w:w="2448"/>
          </w:tcPr>
          <w:p>
            <w:r/>
            <w:r>
              <w:rPr>
                <w:sz w:val="21"/>
              </w:rPr>
              <w:t>CAS</w:t>
            </w:r>
          </w:p>
        </w:tc>
        <w:tc>
          <w:tcPr>
            <w:tcW w:type="dxa" w:w="2160"/>
          </w:tcPr>
          <w:p>
            <w:r/>
            <w:r>
              <w:rPr>
                <w:sz w:val="21"/>
              </w:rPr>
              <w:t>—</w:t>
            </w:r>
          </w:p>
        </w:tc>
        <w:tc>
          <w:tcPr>
            <w:tcW w:type="dxa" w:w="2448"/>
          </w:tcPr>
          <w:p>
            <w:r/>
            <w:r>
              <w:rPr>
                <w:sz w:val="21"/>
              </w:rPr>
              <w:t>Creates, submits, resubmits</w:t>
            </w:r>
          </w:p>
        </w:tc>
        <w:tc>
          <w:tcPr>
            <w:tcW w:type="dxa" w:w="2448"/>
          </w:tcPr>
          <w:p>
            <w:r/>
            <w:r>
              <w:rPr>
                <w:sz w:val="21"/>
              </w:rPr>
              <w:t>Reviews (stages 1–2)</w:t>
            </w:r>
          </w:p>
        </w:tc>
        <w:tc>
          <w:tcPr>
            <w:tcW w:type="dxa" w:w="2160"/>
          </w:tcPr>
          <w:p>
            <w:r/>
            <w:r>
              <w:rPr>
                <w:sz w:val="21"/>
              </w:rPr>
              <w:t>Final sign-off (stage 3)</w:t>
            </w:r>
          </w:p>
        </w:tc>
      </w:tr>
      <w:tr>
        <w:tc>
          <w:tcPr>
            <w:tcW w:type="dxa" w:w="2448"/>
          </w:tcPr>
          <w:p>
            <w:r/>
            <w:r>
              <w:rPr>
                <w:sz w:val="21"/>
              </w:rPr>
              <w:t>AQAR</w:t>
            </w:r>
          </w:p>
        </w:tc>
        <w:tc>
          <w:tcPr>
            <w:tcW w:type="dxa" w:w="2160"/>
          </w:tcPr>
          <w:p>
            <w:r/>
            <w:r>
              <w:rPr>
                <w:sz w:val="21"/>
              </w:rPr>
              <w:t>—</w:t>
            </w:r>
          </w:p>
        </w:tc>
        <w:tc>
          <w:tcPr>
            <w:tcW w:type="dxa" w:w="2448"/>
          </w:tcPr>
          <w:p>
            <w:r/>
            <w:r>
              <w:rPr>
                <w:sz w:val="21"/>
              </w:rPr>
              <w:t>Creates, submits, resubmits</w:t>
            </w:r>
          </w:p>
        </w:tc>
        <w:tc>
          <w:tcPr>
            <w:tcW w:type="dxa" w:w="2448"/>
          </w:tcPr>
          <w:p>
            <w:r/>
            <w:r>
              <w:rPr>
                <w:sz w:val="21"/>
              </w:rPr>
              <w:t>Department &amp; committee review (stages 2–3)</w:t>
            </w:r>
          </w:p>
        </w:tc>
        <w:tc>
          <w:tcPr>
            <w:tcW w:type="dxa" w:w="2160"/>
          </w:tcPr>
          <w:p>
            <w:r/>
            <w:r>
              <w:rPr>
                <w:sz w:val="21"/>
              </w:rPr>
              <w:t>Final sign-off (stage 4)</w:t>
            </w:r>
          </w:p>
        </w:tc>
      </w:tr>
      <w:tr>
        <w:tc>
          <w:tcPr>
            <w:tcW w:type="dxa" w:w="2448"/>
          </w:tcPr>
          <w:p>
            <w:r/>
            <w:r>
              <w:rPr>
                <w:sz w:val="21"/>
              </w:rPr>
              <w:t>NIRF</w:t>
            </w:r>
          </w:p>
        </w:tc>
        <w:tc>
          <w:tcPr>
            <w:tcW w:type="dxa" w:w="2160"/>
          </w:tcPr>
          <w:p>
            <w:r/>
            <w:r>
              <w:rPr>
                <w:sz w:val="21"/>
              </w:rPr>
              <w:t>—</w:t>
            </w:r>
          </w:p>
        </w:tc>
        <w:tc>
          <w:tcPr>
            <w:tcW w:type="dxa" w:w="2448"/>
          </w:tcPr>
          <w:p>
            <w:r/>
            <w:r>
              <w:rPr>
                <w:sz w:val="21"/>
              </w:rPr>
              <w:t>—</w:t>
            </w:r>
          </w:p>
        </w:tc>
        <w:tc>
          <w:tcPr>
            <w:tcW w:type="dxa" w:w="2448"/>
          </w:tcPr>
          <w:p>
            <w:r/>
            <w:r>
              <w:rPr>
                <w:sz w:val="21"/>
              </w:rPr>
              <w:t>View &amp; export only</w:t>
            </w:r>
          </w:p>
        </w:tc>
        <w:tc>
          <w:tcPr>
            <w:tcW w:type="dxa" w:w="2160"/>
          </w:tcPr>
          <w:p>
            <w:r/>
            <w:r>
              <w:rPr>
                <w:sz w:val="21"/>
              </w:rPr>
              <w:t>Full data entry &amp; score calculation</w:t>
            </w:r>
          </w:p>
        </w:tc>
      </w:tr>
    </w:tbl>
    <w:p/>
    <w:p>
      <w:r>
        <w:br w:type="page"/>
      </w:r>
    </w:p>
    <w:p>
      <w:pPr>
        <w:pStyle w:val="Heading1"/>
      </w:pPr>
      <w:r>
        <w:t>9. Recently Delivered Enhancements</w:t>
      </w:r>
    </w:p>
    <w:p>
      <w:r>
        <w:rPr>
          <w:b w:val="0"/>
          <w:i w:val="0"/>
        </w:rPr>
        <w:t>The following improvements have been implemented in the application and are live today. They apply across the modules described in this document.</w:t>
      </w:r>
    </w:p>
    <w:p>
      <w:pPr>
        <w:pStyle w:val="Heading3"/>
      </w:pPr>
      <w:r>
        <w:t>Modern, step-by-step forms for PBAS and CAS</w:t>
      </w:r>
    </w:p>
    <w:p>
      <w:r>
        <w:rPr>
          <w:b w:val="0"/>
          <w:i w:val="0"/>
        </w:rPr>
        <w:t>Both the PBAS appraisal form and the CAS promotion application were redesigned as clear, numbered step-by-step wizards, with a visual progress indicator showing which step is current, which are complete, and which still need attention. Once an application is submitted, it now switches to a clean, read-only summary view instead of showing a greyed-out version of the entry form.</w:t>
      </w:r>
    </w:p>
    <w:p>
      <w:pPr>
        <w:pStyle w:val="Heading3"/>
      </w:pPr>
      <w:r>
        <w:t>A built-in Help panel on every page</w:t>
      </w:r>
    </w:p>
    <w:p>
      <w:r>
        <w:rPr>
          <w:b w:val="0"/>
          <w:i w:val="0"/>
        </w:rPr>
        <w:t>Every screen in the Student and Faculty areas now has a Help button in the top bar. Clicking it opens a side panel explaining, in plain language, what that specific page is for, the typical steps to complete it, what each button and filter does, and any important tips — available on the spot, without needing a separate manual.</w:t>
      </w:r>
    </w:p>
    <w:p>
      <w:pPr>
        <w:pStyle w:val="Heading3"/>
      </w:pPr>
      <w:r>
        <w:t>Confirmation before anything is deleted</w:t>
      </w:r>
    </w:p>
    <w:p>
      <w:r>
        <w:rPr>
          <w:b w:val="0"/>
          <w:i w:val="0"/>
        </w:rPr>
        <w:t>Every delete action across the system — student records, academic year/program/course setup, PBAS drafts, and more — now shows a clear confirmation pop-up before anything is permanently removed, preventing accidental data loss. Actions that only remove an unsaved item from a form in progress (for example, removing a row you just added but have not yet saved) do not require this extra confirmation, since nothing has been saved yet.</w:t>
      </w:r>
    </w:p>
    <w:p>
      <w:pPr>
        <w:pStyle w:val="Heading3"/>
      </w:pPr>
      <w:r>
        <w:t>Full mobile-phone support for the Student area</w:t>
      </w:r>
    </w:p>
    <w:p>
      <w:r>
        <w:rPr>
          <w:b w:val="0"/>
          <w:i w:val="0"/>
        </w:rPr>
        <w:t>The Student portal has been reviewed and adjusted so that every page — including the 11-category Records workspace, which previously required side-scrolling tables on a phone — now displays cleanly on a mobile phone screen, with actions like deleting a record always reachable without scrolling sideways.</w:t>
      </w:r>
    </w:p>
    <w:p>
      <w:r>
        <w:br w:type="page"/>
      </w:r>
    </w:p>
    <w:p>
      <w:pPr>
        <w:pStyle w:val="Heading1"/>
      </w:pPr>
      <w:r>
        <w:t>10. Glossary of Terms</w:t>
      </w:r>
    </w:p>
    <w:tbl>
      <w:tblPr>
        <w:tblStyle w:val="TableGrid"/>
        <w:tblW w:type="auto" w:w="0"/>
        <w:jc w:val="center"/>
        <w:tblLayout w:type="fixed"/>
        <w:tblLook w:firstColumn="1" w:firstRow="1" w:lastColumn="0" w:lastRow="0" w:noHBand="0" w:noVBand="1" w:val="04A0"/>
      </w:tblPr>
      <w:tblGrid>
        <w:gridCol w:w="4320"/>
        <w:gridCol w:w="4320"/>
      </w:tblGrid>
      <w:tr>
        <w:tc>
          <w:tcPr>
            <w:tcW w:type="dxa" w:w="2304"/>
            <w:shd w:val="clear" w:color="auto" w:fill="1F3354"/>
          </w:tcPr>
          <w:p>
            <w:r/>
            <w:r>
              <w:rPr>
                <w:b/>
                <w:color w:val="FFFFFF"/>
                <w:sz w:val="21"/>
              </w:rPr>
              <w:t>Term</w:t>
            </w:r>
          </w:p>
        </w:tc>
        <w:tc>
          <w:tcPr>
            <w:tcW w:type="dxa" w:w="9216"/>
            <w:shd w:val="clear" w:color="auto" w:fill="1F3354"/>
          </w:tcPr>
          <w:p>
            <w:r/>
            <w:r>
              <w:rPr>
                <w:b/>
                <w:color w:val="FFFFFF"/>
                <w:sz w:val="21"/>
              </w:rPr>
              <w:t>Meaning</w:t>
            </w:r>
          </w:p>
        </w:tc>
      </w:tr>
      <w:tr>
        <w:tc>
          <w:tcPr>
            <w:tcW w:type="dxa" w:w="2304"/>
          </w:tcPr>
          <w:p>
            <w:r/>
            <w:r>
              <w:rPr>
                <w:sz w:val="21"/>
              </w:rPr>
              <w:t>PBAS</w:t>
            </w:r>
          </w:p>
        </w:tc>
        <w:tc>
          <w:tcPr>
            <w:tcW w:type="dxa" w:w="9216"/>
          </w:tcPr>
          <w:p>
            <w:r/>
            <w:r>
              <w:rPr>
                <w:sz w:val="21"/>
              </w:rPr>
              <w:t>Performance Based Appraisal System — the annual faculty self-appraisal and scoring process.</w:t>
            </w:r>
          </w:p>
        </w:tc>
      </w:tr>
      <w:tr>
        <w:tc>
          <w:tcPr>
            <w:tcW w:type="dxa" w:w="2304"/>
          </w:tcPr>
          <w:p>
            <w:r/>
            <w:r>
              <w:rPr>
                <w:sz w:val="21"/>
              </w:rPr>
              <w:t>CAS</w:t>
            </w:r>
          </w:p>
        </w:tc>
        <w:tc>
          <w:tcPr>
            <w:tcW w:type="dxa" w:w="9216"/>
          </w:tcPr>
          <w:p>
            <w:r/>
            <w:r>
              <w:rPr>
                <w:sz w:val="21"/>
              </w:rPr>
              <w:t>Career Advancement Scheme — the process for a faculty member to apply for promotion to their next designation.</w:t>
            </w:r>
          </w:p>
        </w:tc>
      </w:tr>
      <w:tr>
        <w:tc>
          <w:tcPr>
            <w:tcW w:type="dxa" w:w="2304"/>
          </w:tcPr>
          <w:p>
            <w:r/>
            <w:r>
              <w:rPr>
                <w:sz w:val="21"/>
              </w:rPr>
              <w:t>AQAR</w:t>
            </w:r>
          </w:p>
        </w:tc>
        <w:tc>
          <w:tcPr>
            <w:tcW w:type="dxa" w:w="9216"/>
          </w:tcPr>
          <w:p>
            <w:r/>
            <w:r>
              <w:rPr>
                <w:sz w:val="21"/>
              </w:rPr>
              <w:t>Annual Quality Assurance Report — a yearly report of quality-related activity, part of NAAC accreditation.</w:t>
            </w:r>
          </w:p>
        </w:tc>
      </w:tr>
      <w:tr>
        <w:tc>
          <w:tcPr>
            <w:tcW w:type="dxa" w:w="2304"/>
          </w:tcPr>
          <w:p>
            <w:r/>
            <w:r>
              <w:rPr>
                <w:sz w:val="21"/>
              </w:rPr>
              <w:t>NIRF</w:t>
            </w:r>
          </w:p>
        </w:tc>
        <w:tc>
          <w:tcPr>
            <w:tcW w:type="dxa" w:w="9216"/>
          </w:tcPr>
          <w:p>
            <w:r/>
            <w:r>
              <w:rPr>
                <w:sz w:val="21"/>
              </w:rPr>
              <w:t>National Institutional Ranking Framework — the Government of India's annual institutional ranking exercise.</w:t>
            </w:r>
          </w:p>
        </w:tc>
      </w:tr>
      <w:tr>
        <w:tc>
          <w:tcPr>
            <w:tcW w:type="dxa" w:w="2304"/>
          </w:tcPr>
          <w:p>
            <w:r/>
            <w:r>
              <w:rPr>
                <w:sz w:val="21"/>
              </w:rPr>
              <w:t>NAAC</w:t>
            </w:r>
          </w:p>
        </w:tc>
        <w:tc>
          <w:tcPr>
            <w:tcW w:type="dxa" w:w="9216"/>
          </w:tcPr>
          <w:p>
            <w:r/>
            <w:r>
              <w:rPr>
                <w:sz w:val="21"/>
              </w:rPr>
              <w:t>National Assessment and Accreditation Council — the Indian body that accredits higher-education institutions.</w:t>
            </w:r>
          </w:p>
        </w:tc>
      </w:tr>
      <w:tr>
        <w:tc>
          <w:tcPr>
            <w:tcW w:type="dxa" w:w="2304"/>
          </w:tcPr>
          <w:p>
            <w:r/>
            <w:r>
              <w:rPr>
                <w:sz w:val="21"/>
              </w:rPr>
              <w:t>IQAC</w:t>
            </w:r>
          </w:p>
        </w:tc>
        <w:tc>
          <w:tcPr>
            <w:tcW w:type="dxa" w:w="9216"/>
          </w:tcPr>
          <w:p>
            <w:r/>
            <w:r>
              <w:rPr>
                <w:sz w:val="21"/>
              </w:rPr>
              <w:t>Internal Quality Assurance Cell — the institution's own internal quality-monitoring committee.</w:t>
            </w:r>
          </w:p>
        </w:tc>
      </w:tr>
      <w:tr>
        <w:tc>
          <w:tcPr>
            <w:tcW w:type="dxa" w:w="2304"/>
          </w:tcPr>
          <w:p>
            <w:r/>
            <w:r>
              <w:rPr>
                <w:sz w:val="21"/>
              </w:rPr>
              <w:t>SSR</w:t>
            </w:r>
          </w:p>
        </w:tc>
        <w:tc>
          <w:tcPr>
            <w:tcW w:type="dxa" w:w="9216"/>
          </w:tcPr>
          <w:p>
            <w:r/>
            <w:r>
              <w:rPr>
                <w:sz w:val="21"/>
              </w:rPr>
              <w:t>Self-Study Report — the detailed institutional report submitted to NAAC as part of accreditation.</w:t>
            </w:r>
          </w:p>
        </w:tc>
      </w:tr>
      <w:tr>
        <w:tc>
          <w:tcPr>
            <w:tcW w:type="dxa" w:w="2304"/>
          </w:tcPr>
          <w:p>
            <w:r/>
            <w:r>
              <w:rPr>
                <w:sz w:val="21"/>
              </w:rPr>
              <w:t>SSS</w:t>
            </w:r>
          </w:p>
        </w:tc>
        <w:tc>
          <w:tcPr>
            <w:tcW w:type="dxa" w:w="9216"/>
          </w:tcPr>
          <w:p>
            <w:r/>
            <w:r>
              <w:rPr>
                <w:sz w:val="21"/>
              </w:rPr>
              <w:t>Student Satisfaction Survey — a periodic anonymous survey of student satisfaction.</w:t>
            </w:r>
          </w:p>
        </w:tc>
      </w:tr>
      <w:tr>
        <w:tc>
          <w:tcPr>
            <w:tcW w:type="dxa" w:w="2304"/>
          </w:tcPr>
          <w:p>
            <w:r/>
            <w:r>
              <w:rPr>
                <w:sz w:val="21"/>
              </w:rPr>
              <w:t>AISHE</w:t>
            </w:r>
          </w:p>
        </w:tc>
        <w:tc>
          <w:tcPr>
            <w:tcW w:type="dxa" w:w="9216"/>
          </w:tcPr>
          <w:p>
            <w:r/>
            <w:r>
              <w:rPr>
                <w:sz w:val="21"/>
              </w:rPr>
              <w:t>All India Survey on Higher Education — a separate government statistical return.</w:t>
            </w:r>
          </w:p>
        </w:tc>
      </w:tr>
      <w:tr>
        <w:tc>
          <w:tcPr>
            <w:tcW w:type="dxa" w:w="2304"/>
          </w:tcPr>
          <w:p>
            <w:r/>
            <w:r>
              <w:rPr>
                <w:sz w:val="21"/>
              </w:rPr>
              <w:t>Draft</w:t>
            </w:r>
          </w:p>
        </w:tc>
        <w:tc>
          <w:tcPr>
            <w:tcW w:type="dxa" w:w="9216"/>
          </w:tcPr>
          <w:p>
            <w:r/>
            <w:r>
              <w:rPr>
                <w:sz w:val="21"/>
              </w:rPr>
              <w:t>A record that has been started but not yet submitted — fully editable by its owner.</w:t>
            </w:r>
          </w:p>
        </w:tc>
      </w:tr>
      <w:tr>
        <w:tc>
          <w:tcPr>
            <w:tcW w:type="dxa" w:w="2304"/>
          </w:tcPr>
          <w:p>
            <w:r/>
            <w:r>
              <w:rPr>
                <w:sz w:val="21"/>
              </w:rPr>
              <w:t>Submitted / Under Review / Committee Review</w:t>
            </w:r>
          </w:p>
        </w:tc>
        <w:tc>
          <w:tcPr>
            <w:tcW w:type="dxa" w:w="9216"/>
          </w:tcPr>
          <w:p>
            <w:r/>
            <w:r>
              <w:rPr>
                <w:sz w:val="21"/>
              </w:rPr>
              <w:t>The three progressively later review checkpoints a PBAS or CAS record passes through before final approval (see Sections 4–6 for exactly what each one means).</w:t>
            </w:r>
          </w:p>
        </w:tc>
      </w:tr>
      <w:tr>
        <w:tc>
          <w:tcPr>
            <w:tcW w:type="dxa" w:w="2304"/>
          </w:tcPr>
          <w:p>
            <w:r/>
            <w:r>
              <w:rPr>
                <w:sz w:val="21"/>
              </w:rPr>
              <w:t>Approved</w:t>
            </w:r>
          </w:p>
        </w:tc>
        <w:tc>
          <w:tcPr>
            <w:tcW w:type="dxa" w:w="9216"/>
          </w:tcPr>
          <w:p>
            <w:r/>
            <w:r>
              <w:rPr>
                <w:sz w:val="21"/>
              </w:rPr>
              <w:t>The final, permanent status once every review checkpoint has signed off.</w:t>
            </w:r>
          </w:p>
        </w:tc>
      </w:tr>
      <w:tr>
        <w:tc>
          <w:tcPr>
            <w:tcW w:type="dxa" w:w="2304"/>
          </w:tcPr>
          <w:p>
            <w:r/>
            <w:r>
              <w:rPr>
                <w:sz w:val="21"/>
              </w:rPr>
              <w:t>Rejected</w:t>
            </w:r>
          </w:p>
        </w:tc>
        <w:tc>
          <w:tcPr>
            <w:tcW w:type="dxa" w:w="9216"/>
          </w:tcPr>
          <w:p>
            <w:r/>
            <w:r>
              <w:rPr>
                <w:sz w:val="21"/>
              </w:rPr>
              <w:t>A record sent back to its owner for correction; becomes editable again and can be resubmitted.</w:t>
            </w:r>
          </w:p>
        </w:tc>
      </w:tr>
    </w:tbl>
    <w:p/>
    <w:p>
      <w:pPr>
        <w:jc w:val="center"/>
      </w:pPr>
      <w:r>
        <w:rPr>
          <w:i/>
          <w:color w:val="555555"/>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354"/>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5C8A"/>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3354"/>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