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40"/>
          <w:szCs w:val="40"/>
        </w:rPr>
        <w:t xml:space="preserve">AI DataValidator</w:t>
      </w:r>
    </w:p>
    <w:p>
      <w:pPr>
        <w:spacing w:after="60"/>
      </w:pPr>
      <w:r>
        <w:rPr>
          <w:b/>
          <w:bCs/>
          <w:color w:val="1F3A5F"/>
          <w:sz w:val="30"/>
          <w:szCs w:val="30"/>
        </w:rPr>
        <w:t xml:space="preserve">Data Handling &amp; AI Governance</w:t>
      </w:r>
    </w:p>
    <w:p>
      <w:pPr>
        <w:pBdr>
          <w:bottom w:val="single" w:color="2563EB" w:sz="12" w:space="6"/>
        </w:pBdr>
        <w:spacing w:after="160"/>
      </w:pPr>
      <w:r>
        <w:rPr>
          <w:i/>
          <w:iCs/>
          <w:color w:val="555555"/>
          <w:sz w:val="21"/>
          <w:szCs w:val="21"/>
        </w:rPr>
        <w:t xml:space="preserve">How your data is processed, secured, and governed</w:t>
      </w:r>
    </w:p>
    <w:p>
      <w:pPr>
        <w:spacing w:after="120" w:line="276"/>
      </w:pPr>
      <w:r>
        <w:rPr>
          <w:b/>
          <w:bCs/>
          <w:color w:val="222222"/>
          <w:sz w:val="21"/>
          <w:szCs w:val="21"/>
        </w:rPr>
        <w:t xml:space="preserve">Summary. </w:t>
      </w:r>
      <w:r>
        <w:rPr>
          <w:color w:val="222222"/>
          <w:sz w:val="21"/>
          <w:szCs w:val="21"/>
        </w:rPr>
        <w:t xml:space="preserve">AI DataValidator processes your data using a deterministic engine that runs entirely within the application's own infrastructure. The complete dataset is never sent to any AI model. Artificial intelligence is used only to interpret rules and map schemas, and even then only a small, PII-masked sample of column data is shared — and, in governed mode, only with an enterprise AI provider operating under a data-processing agreement (DPA).</w:t>
      </w:r>
    </w:p>
    <w:p>
      <w:pPr>
        <w:pStyle w:val="Heading1"/>
        <w:spacing w:after="120" w:before="260"/>
      </w:pPr>
      <w:r>
        <w:rPr>
          <w:b/>
          <w:bCs/>
          <w:color w:val="1F3A5F"/>
          <w:sz w:val="28"/>
          <w:szCs w:val="28"/>
        </w:rPr>
        <w:t xml:space="preserve">1. The full dataset never leaves our engine</w:t>
      </w:r>
    </w:p>
    <w:p>
      <w:pPr>
        <w:spacing w:after="120" w:line="276"/>
      </w:pPr>
      <w:r>
        <w:rPr>
          <w:color w:val="222222"/>
          <w:sz w:val="21"/>
          <w:szCs w:val="21"/>
        </w:rPr>
        <w:t xml:space="preserve">The system is </w:t>
      </w:r>
      <w:r>
        <w:rPr>
          <w:b/>
          <w:bCs/>
          <w:color w:val="222222"/>
          <w:sz w:val="21"/>
          <w:szCs w:val="21"/>
        </w:rPr>
        <w:t xml:space="preserve">deterministic-engine-first</w:t>
      </w:r>
      <w:r>
        <w:rPr>
          <w:color w:val="222222"/>
          <w:sz w:val="21"/>
          <w:szCs w:val="21"/>
        </w:rPr>
        <w:t xml:space="preserve">. The AI's only job is to author rules — to translate plain-English instructions or schema hints into structured parameters. </w:t>
      </w:r>
      <w:r>
        <w:rPr>
          <w:b/>
          <w:bCs/>
          <w:color w:val="222222"/>
          <w:sz w:val="21"/>
          <w:szCs w:val="21"/>
        </w:rPr>
        <w:t xml:space="preserve">Every figure</w:t>
      </w:r>
      <w:r>
        <w:rPr>
          <w:color w:val="222222"/>
          <w:sz w:val="21"/>
          <w:szCs w:val="21"/>
        </w:rPr>
        <w:t xml:space="preserve"> — every reconciliation break, data-quality score, match, and profile statistic — is computed on the application server by deterministic code, not by any AI model.</w:t>
      </w:r>
    </w:p>
    <w:p>
      <w:pPr>
        <w:spacing w:after="120" w:line="276"/>
      </w:pPr>
      <w:r>
        <w:rPr>
          <w:b/>
          <w:bCs/>
          <w:color w:val="222222"/>
          <w:sz w:val="21"/>
          <w:szCs w:val="21"/>
        </w:rPr>
        <w:t xml:space="preserve">Your customer records (all rows and all values) are read, processed, and stored only within the application's own infrastructure and are never transmitted to an AI provider.</w:t>
      </w:r>
    </w:p>
    <w:p>
      <w:pPr>
        <w:pStyle w:val="Heading1"/>
        <w:spacing w:after="120" w:before="260"/>
      </w:pPr>
      <w:r>
        <w:rPr>
          <w:b/>
          <w:bCs/>
          <w:color w:val="1F3A5F"/>
          <w:sz w:val="28"/>
          <w:szCs w:val="28"/>
        </w:rPr>
        <w:t xml:space="preserve">2. What is shared with an AI provider — and how it is protected</w:t>
      </w:r>
    </w:p>
    <w:p>
      <w:pPr>
        <w:spacing w:after="120" w:line="276"/>
      </w:pPr>
      <w:r>
        <w:rPr>
          <w:color w:val="222222"/>
          <w:sz w:val="21"/>
          <w:szCs w:val="21"/>
        </w:rPr>
        <w:t xml:space="preserve">Only two narrow items are ever sent to an external model, and both are minimised and masked beforehand: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40"/>
      </w:tblGrid>
      <w:tr>
        <w:trPr>
          <w:tblHeader/>
        </w:trPr>
        <w:tc>
          <w:tcPr>
            <w:tcW w:type="dxa" w:w="2600"/>
            <w:shd w:fill="1F3A5F" w:color="auto" w:val="clear"/>
            <w:tcMar>
              <w:top w:type="dxa" w:w="80"/>
              <w:left w:type="dxa" w:w="120"/>
              <w:bottom w:type="dxa" w:w="80"/>
              <w:right w:type="dxa" w:w="120"/>
            </w:tcMar>
          </w:tcPr>
          <w:p>
            <w:r>
              <w:rPr>
                <w:b/>
                <w:bCs/>
                <w:color w:val="FFFFFF"/>
                <w:sz w:val="20"/>
                <w:szCs w:val="20"/>
              </w:rPr>
              <w:t xml:space="preserve">Item shared</w:t>
            </w:r>
          </w:p>
        </w:tc>
        <w:tc>
          <w:tcPr>
            <w:tcW w:type="dxa" w:w="3400"/>
            <w:shd w:fill="1F3A5F" w:color="auto" w:val="clear"/>
            <w:tcMar>
              <w:top w:type="dxa" w:w="80"/>
              <w:left w:type="dxa" w:w="120"/>
              <w:bottom w:type="dxa" w:w="80"/>
              <w:right w:type="dxa" w:w="120"/>
            </w:tcMar>
          </w:tcPr>
          <w:p>
            <w:r>
              <w:rPr>
                <w:b/>
                <w:bCs/>
                <w:color w:val="FFFFFF"/>
                <w:sz w:val="20"/>
                <w:szCs w:val="20"/>
              </w:rPr>
              <w:t xml:space="preserve">Scope</w:t>
            </w:r>
          </w:p>
        </w:tc>
        <w:tc>
          <w:tcPr>
            <w:tcW w:type="dxa" w:w="3840"/>
            <w:shd w:fill="1F3A5F" w:color="auto" w:val="clear"/>
            <w:tcMar>
              <w:top w:type="dxa" w:w="80"/>
              <w:left w:type="dxa" w:w="120"/>
              <w:bottom w:type="dxa" w:w="80"/>
              <w:right w:type="dxa" w:w="120"/>
            </w:tcMar>
          </w:tcPr>
          <w:p>
            <w:r>
              <w:rPr>
                <w:b/>
                <w:bCs/>
                <w:color w:val="FFFFFF"/>
                <w:sz w:val="20"/>
                <w:szCs w:val="20"/>
              </w:rPr>
              <w:t xml:space="preserve">Protection applied before sending</w:t>
            </w:r>
          </w:p>
        </w:tc>
      </w:tr>
      <w:tr>
        <w:tc>
          <w:tcPr>
            <w:tcW w:type="dxa" w:w="2600"/>
            <w:shd w:fill="FFFFFF" w:color="auto" w:val="clear"/>
            <w:tcMar>
              <w:top w:type="dxa" w:w="80"/>
              <w:left w:type="dxa" w:w="120"/>
              <w:bottom w:type="dxa" w:w="80"/>
              <w:right w:type="dxa" w:w="120"/>
            </w:tcMar>
          </w:tcPr>
          <w:r>
            <w:rPr>
              <w:b/>
              <w:bCs/>
              <w:color w:val="222222"/>
              <w:sz w:val="21"/>
              <w:szCs w:val="21"/>
            </w:rPr>
            <w:t xml:space="preserve">Schema + samples</w:t>
          </w:r>
          <w:p/>
        </w:tc>
        <w:tc>
          <w:tcPr>
            <w:tcW w:type="dxa" w:w="3400"/>
            <w:shd w:fill="FFFFFF" w:color="auto" w:val="clear"/>
            <w:tcMar>
              <w:top w:type="dxa" w:w="80"/>
              <w:left w:type="dxa" w:w="120"/>
              <w:bottom w:type="dxa" w:w="80"/>
              <w:right w:type="dxa" w:w="120"/>
            </w:tcMar>
          </w:tcPr>
          <w:p>
            <w:r>
              <w:rPr>
                <w:b w:val="false"/>
                <w:bCs w:val="false"/>
                <w:color w:val="222222"/>
                <w:sz w:val="20"/>
                <w:szCs w:val="20"/>
              </w:rPr>
              <w:t xml:space="preserve">Column names + up to 5 sample values per column (for schema mapping / suggestions)</w:t>
            </w:r>
          </w:p>
        </w:tc>
        <w:tc>
          <w:tcPr>
            <w:tcW w:type="dxa" w:w="3840"/>
            <w:shd w:fill="FFFFFF" w:color="auto" w:val="clear"/>
            <w:tcMar>
              <w:top w:type="dxa" w:w="80"/>
              <w:left w:type="dxa" w:w="120"/>
              <w:bottom w:type="dxa" w:w="80"/>
              <w:right w:type="dxa" w:w="120"/>
            </w:tcMar>
          </w:tcPr>
          <w:p>
            <w:r>
              <w:rPr>
                <w:b w:val="false"/>
                <w:bCs w:val="false"/>
                <w:color w:val="222222"/>
                <w:sz w:val="20"/>
                <w:szCs w:val="20"/>
              </w:rPr>
              <w:t xml:space="preserve">Local PII scan runs first; any flagged column is redacted (see masking table below)</w:t>
            </w:r>
          </w:p>
        </w:tc>
      </w:tr>
      <w:tr>
        <w:tc>
          <w:tcPr>
            <w:tcW w:type="dxa" w:w="2600"/>
            <w:shd w:fill="EAF1FB" w:color="auto" w:val="clear"/>
            <w:tcMar>
              <w:top w:type="dxa" w:w="80"/>
              <w:left w:type="dxa" w:w="120"/>
              <w:bottom w:type="dxa" w:w="80"/>
              <w:right w:type="dxa" w:w="120"/>
            </w:tcMar>
          </w:tcPr>
          <w:r>
            <w:rPr>
              <w:b/>
              <w:bCs/>
              <w:color w:val="222222"/>
              <w:sz w:val="21"/>
              <w:szCs w:val="21"/>
            </w:rPr>
            <w:t xml:space="preserve">Unstructured text</w:t>
          </w:r>
          <w:p/>
        </w:tc>
        <w:tc>
          <w:tcPr>
            <w:tcW w:type="dxa" w:w="3400"/>
            <w:shd w:fill="EAF1FB" w:color="auto" w:val="clear"/>
            <w:tcMar>
              <w:top w:type="dxa" w:w="80"/>
              <w:left w:type="dxa" w:w="120"/>
              <w:bottom w:type="dxa" w:w="80"/>
              <w:right w:type="dxa" w:w="120"/>
            </w:tcMar>
          </w:tcPr>
          <w:p>
            <w:r>
              <w:rPr>
                <w:b w:val="false"/>
                <w:bCs w:val="false"/>
                <w:color w:val="222222"/>
                <w:sz w:val="20"/>
                <w:szCs w:val="20"/>
              </w:rPr>
              <w:t xml:space="preserve">Free-text content in the Parse module (no column structure yet)</w:t>
            </w:r>
          </w:p>
        </w:tc>
        <w:tc>
          <w:tcPr>
            <w:tcW w:type="dxa" w:w="3840"/>
            <w:shd w:fill="EAF1FB" w:color="auto" w:val="clear"/>
            <w:tcMar>
              <w:top w:type="dxa" w:w="80"/>
              <w:left w:type="dxa" w:w="120"/>
              <w:bottom w:type="dxa" w:w="80"/>
              <w:right w:type="dxa" w:w="120"/>
            </w:tcMar>
          </w:tcPr>
          <w:p>
            <w:r>
              <w:rPr>
                <w:b w:val="false"/>
                <w:bCs w:val="false"/>
                <w:color w:val="222222"/>
                <w:sz w:val="20"/>
                <w:szCs w:val="20"/>
              </w:rPr>
              <w:t xml:space="preserve">Email, phone, SSN, credit-card and IBAN patterns are redacted before parsing</w:t>
            </w:r>
          </w:p>
        </w:tc>
      </w:tr>
    </w:tbl>
    <w:p>
      <w:pPr>
        <w:spacing w:after="120" w:before="120"/>
      </w:pPr>
      <w:r>
        <w:rPr>
          <w:color w:val="222222"/>
          <w:sz w:val="21"/>
          <w:szCs w:val="21"/>
        </w:rPr>
        <w:t xml:space="preserve">All other processing — fuzzy matching, every data-quality validator, profiling, and PII detection itself — is </w:t>
      </w:r>
      <w:r>
        <w:rPr>
          <w:b/>
          <w:bCs/>
          <w:color w:val="222222"/>
          <w:sz w:val="21"/>
          <w:szCs w:val="21"/>
        </w:rPr>
        <w:t xml:space="preserve">100% local and deterministic</w:t>
      </w:r>
      <w:r>
        <w:rPr>
          <w:color w:val="222222"/>
          <w:sz w:val="21"/>
          <w:szCs w:val="21"/>
        </w:rPr>
        <w:t xml:space="preserve"> (no AI involved).</w:t>
      </w:r>
    </w:p>
    <w:p>
      <w:pPr>
        <w:pStyle w:val="Heading1"/>
        <w:spacing w:after="120" w:before="260"/>
      </w:pPr>
      <w:r>
        <w:rPr>
          <w:b/>
          <w:bCs/>
          <w:color w:val="1F3A5F"/>
          <w:sz w:val="28"/>
          <w:szCs w:val="28"/>
        </w:rPr>
        <w:t xml:space="preserve">3. PII masking applied before any sample is shared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5640"/>
      </w:tblGrid>
      <w:tr>
        <w:trPr>
          <w:tblHeader/>
        </w:trPr>
        <w:tc>
          <w:tcPr>
            <w:tcW w:type="dxa" w:w="4200"/>
            <w:shd w:fill="1F3A5F" w:color="auto" w:val="clear"/>
            <w:tcMar>
              <w:top w:type="dxa" w:w="80"/>
              <w:left w:type="dxa" w:w="120"/>
              <w:bottom w:type="dxa" w:w="80"/>
              <w:right w:type="dxa" w:w="120"/>
            </w:tcMar>
          </w:tcPr>
          <w:p>
            <w:r>
              <w:rPr>
                <w:b/>
                <w:bCs/>
                <w:color w:val="FFFFFF"/>
                <w:sz w:val="20"/>
                <w:szCs w:val="20"/>
              </w:rPr>
              <w:t xml:space="preserve">Data type</w:t>
            </w:r>
          </w:p>
        </w:tc>
        <w:tc>
          <w:tcPr>
            <w:tcW w:type="dxa" w:w="5640"/>
            <w:shd w:fill="1F3A5F" w:color="auto" w:val="clear"/>
            <w:tcMar>
              <w:top w:type="dxa" w:w="80"/>
              <w:left w:type="dxa" w:w="120"/>
              <w:bottom w:type="dxa" w:w="80"/>
              <w:right w:type="dxa" w:w="120"/>
            </w:tcMar>
          </w:tcPr>
          <w:p>
            <w:r>
              <w:rPr>
                <w:b/>
                <w:bCs/>
                <w:color w:val="FFFFFF"/>
                <w:sz w:val="20"/>
                <w:szCs w:val="20"/>
              </w:rPr>
              <w:t xml:space="preserve">Sent as</w:t>
            </w:r>
          </w:p>
        </w:tc>
      </w:tr>
      <w:tr>
        <w:tc>
          <w:tcPr>
            <w:tcW w:type="dxa" w:w="4200"/>
            <w:shd w:fill="FFFFFF" w:color="auto" w:val="clear"/>
            <w:tcMar>
              <w:top w:type="dxa" w:w="80"/>
              <w:left w:type="dxa" w:w="120"/>
              <w:bottom w:type="dxa" w:w="80"/>
              <w:right w:type="dxa" w:w="120"/>
            </w:tcMar>
          </w:tcPr>
          <w:p>
            <w:r>
              <w:rPr>
                <w:b w:val="false"/>
                <w:bCs w:val="false"/>
                <w:color w:val="222222"/>
                <w:sz w:val="20"/>
                <w:szCs w:val="20"/>
              </w:rPr>
              <w:t xml:space="preserve">Email address</w:t>
            </w:r>
          </w:p>
        </w:tc>
        <w:tc>
          <w:tcPr>
            <w:tcW w:type="dxa" w:w="5640"/>
            <w:shd w:fill="FFFFFF" w:color="auto" w:val="clear"/>
            <w:tcMar>
              <w:top w:type="dxa" w:w="80"/>
              <w:left w:type="dxa" w:w="120"/>
              <w:bottom w:type="dxa" w:w="80"/>
              <w:right w:type="dxa" w:w="120"/>
            </w:tcMar>
          </w:tcPr>
          <w:p>
            <w:r>
              <w:rPr>
                <w:b w:val="false"/>
                <w:bCs w:val="false"/>
                <w:color w:val="222222"/>
                <w:sz w:val="20"/>
                <w:szCs w:val="20"/>
              </w:rPr>
              <w:t xml:space="preserve">j***@bank.com</w:t>
            </w:r>
          </w:p>
        </w:tc>
      </w:tr>
      <w:tr>
        <w:tc>
          <w:tcPr>
            <w:tcW w:type="dxa" w:w="4200"/>
            <w:shd w:fill="EAF1FB" w:color="auto" w:val="clear"/>
            <w:tcMar>
              <w:top w:type="dxa" w:w="80"/>
              <w:left w:type="dxa" w:w="120"/>
              <w:bottom w:type="dxa" w:w="80"/>
              <w:right w:type="dxa" w:w="120"/>
            </w:tcMar>
          </w:tcPr>
          <w:p>
            <w:r>
              <w:rPr>
                <w:b w:val="false"/>
                <w:bCs w:val="false"/>
                <w:color w:val="222222"/>
                <w:sz w:val="20"/>
                <w:szCs w:val="20"/>
              </w:rPr>
              <w:t xml:space="preserve">National ID / SSN</w:t>
            </w:r>
          </w:p>
        </w:tc>
        <w:tc>
          <w:tcPr>
            <w:tcW w:type="dxa" w:w="5640"/>
            <w:shd w:fill="EAF1FB" w:color="auto" w:val="clear"/>
            <w:tcMar>
              <w:top w:type="dxa" w:w="80"/>
              <w:left w:type="dxa" w:w="120"/>
              <w:bottom w:type="dxa" w:w="80"/>
              <w:right w:type="dxa" w:w="120"/>
            </w:tcMar>
          </w:tcPr>
          <w:p>
            <w:r>
              <w:rPr>
                <w:b w:val="false"/>
                <w:bCs w:val="false"/>
                <w:color w:val="222222"/>
                <w:sz w:val="20"/>
                <w:szCs w:val="20"/>
              </w:rPr>
              <w:t xml:space="preserve">***-**-1234</w:t>
            </w:r>
          </w:p>
        </w:tc>
      </w:tr>
      <w:tr>
        <w:tc>
          <w:tcPr>
            <w:tcW w:type="dxa" w:w="4200"/>
            <w:shd w:fill="FFFFFF" w:color="auto" w:val="clear"/>
            <w:tcMar>
              <w:top w:type="dxa" w:w="80"/>
              <w:left w:type="dxa" w:w="120"/>
              <w:bottom w:type="dxa" w:w="80"/>
              <w:right w:type="dxa" w:w="120"/>
            </w:tcMar>
          </w:tcPr>
          <w:p>
            <w:r>
              <w:rPr>
                <w:b w:val="false"/>
                <w:bCs w:val="false"/>
                <w:color w:val="222222"/>
                <w:sz w:val="20"/>
                <w:szCs w:val="20"/>
              </w:rPr>
              <w:t xml:space="preserve">Credit-card number</w:t>
            </w:r>
          </w:p>
        </w:tc>
        <w:tc>
          <w:tcPr>
            <w:tcW w:type="dxa" w:w="5640"/>
            <w:shd w:fill="FFFFFF" w:color="auto" w:val="clear"/>
            <w:tcMar>
              <w:top w:type="dxa" w:w="80"/>
              <w:left w:type="dxa" w:w="120"/>
              <w:bottom w:type="dxa" w:w="80"/>
              <w:right w:type="dxa" w:w="120"/>
            </w:tcMar>
          </w:tcPr>
          <w:p>
            <w:r>
              <w:rPr>
                <w:b w:val="false"/>
                <w:bCs w:val="false"/>
                <w:color w:val="222222"/>
                <w:sz w:val="20"/>
                <w:szCs w:val="20"/>
              </w:rPr>
              <w:t xml:space="preserve">****-****-****-1234</w:t>
            </w:r>
          </w:p>
        </w:tc>
      </w:tr>
      <w:tr>
        <w:tc>
          <w:tcPr>
            <w:tcW w:type="dxa" w:w="4200"/>
            <w:shd w:fill="EAF1FB" w:color="auto" w:val="clear"/>
            <w:tcMar>
              <w:top w:type="dxa" w:w="80"/>
              <w:left w:type="dxa" w:w="120"/>
              <w:bottom w:type="dxa" w:w="80"/>
              <w:right w:type="dxa" w:w="120"/>
            </w:tcMar>
          </w:tcPr>
          <w:p>
            <w:r>
              <w:rPr>
                <w:b w:val="false"/>
                <w:bCs w:val="false"/>
                <w:color w:val="222222"/>
                <w:sz w:val="20"/>
                <w:szCs w:val="20"/>
              </w:rPr>
              <w:t xml:space="preserve">IBAN / bank account</w:t>
            </w:r>
          </w:p>
        </w:tc>
        <w:tc>
          <w:tcPr>
            <w:tcW w:type="dxa" w:w="5640"/>
            <w:shd w:fill="EAF1FB" w:color="auto" w:val="clear"/>
            <w:tcMar>
              <w:top w:type="dxa" w:w="80"/>
              <w:left w:type="dxa" w:w="120"/>
              <w:bottom w:type="dxa" w:w="80"/>
              <w:right w:type="dxa" w:w="120"/>
            </w:tcMar>
          </w:tcPr>
          <w:p>
            <w:r>
              <w:rPr>
                <w:b w:val="false"/>
                <w:bCs w:val="false"/>
                <w:color w:val="222222"/>
                <w:sz w:val="20"/>
                <w:szCs w:val="20"/>
              </w:rPr>
              <w:t xml:space="preserve">GB12-****-****-7890</w:t>
            </w:r>
          </w:p>
        </w:tc>
      </w:tr>
      <w:tr>
        <w:tc>
          <w:tcPr>
            <w:tcW w:type="dxa" w:w="4200"/>
            <w:shd w:fill="FFFFFF" w:color="auto" w:val="clear"/>
            <w:tcMar>
              <w:top w:type="dxa" w:w="80"/>
              <w:left w:type="dxa" w:w="120"/>
              <w:bottom w:type="dxa" w:w="80"/>
              <w:right w:type="dxa" w:w="120"/>
            </w:tcMar>
          </w:tcPr>
          <w:p>
            <w:r>
              <w:rPr>
                <w:b w:val="false"/>
                <w:bCs w:val="false"/>
                <w:color w:val="222222"/>
                <w:sz w:val="20"/>
                <w:szCs w:val="20"/>
              </w:rPr>
              <w:t xml:space="preserve">Full name</w:t>
            </w:r>
          </w:p>
        </w:tc>
        <w:tc>
          <w:tcPr>
            <w:tcW w:type="dxa" w:w="5640"/>
            <w:shd w:fill="FFFFFF" w:color="auto" w:val="clear"/>
            <w:tcMar>
              <w:top w:type="dxa" w:w="80"/>
              <w:left w:type="dxa" w:w="120"/>
              <w:bottom w:type="dxa" w:w="80"/>
              <w:right w:type="dxa" w:w="120"/>
            </w:tcMar>
          </w:tcPr>
          <w:p>
            <w:r>
              <w:rPr>
                <w:b w:val="false"/>
                <w:bCs w:val="false"/>
                <w:color w:val="222222"/>
                <w:sz w:val="20"/>
                <w:szCs w:val="20"/>
              </w:rPr>
              <w:t xml:space="preserve">[MASKED]</w:t>
            </w:r>
          </w:p>
        </w:tc>
      </w:tr>
      <w:tr>
        <w:tc>
          <w:tcPr>
            <w:tcW w:type="dxa" w:w="4200"/>
            <w:shd w:fill="EAF1FB" w:color="auto" w:val="clear"/>
            <w:tcMar>
              <w:top w:type="dxa" w:w="80"/>
              <w:left w:type="dxa" w:w="120"/>
              <w:bottom w:type="dxa" w:w="80"/>
              <w:right w:type="dxa" w:w="120"/>
            </w:tcMar>
          </w:tcPr>
          <w:p>
            <w:r>
              <w:rPr>
                <w:b w:val="false"/>
                <w:bCs w:val="false"/>
                <w:color w:val="222222"/>
                <w:sz w:val="20"/>
                <w:szCs w:val="20"/>
              </w:rPr>
              <w:t xml:space="preserve">Postal address</w:t>
            </w:r>
          </w:p>
        </w:tc>
        <w:tc>
          <w:tcPr>
            <w:tcW w:type="dxa" w:w="5640"/>
            <w:shd w:fill="EAF1FB" w:color="auto" w:val="clear"/>
            <w:tcMar>
              <w:top w:type="dxa" w:w="80"/>
              <w:left w:type="dxa" w:w="120"/>
              <w:bottom w:type="dxa" w:w="80"/>
              <w:right w:type="dxa" w:w="120"/>
            </w:tcMar>
          </w:tcPr>
          <w:p>
            <w:r>
              <w:rPr>
                <w:b w:val="false"/>
                <w:bCs w:val="false"/>
                <w:color w:val="222222"/>
                <w:sz w:val="20"/>
                <w:szCs w:val="20"/>
              </w:rPr>
              <w:t xml:space="preserve">[ADDRESS MASKED]</w:t>
            </w:r>
          </w:p>
        </w:tc>
      </w:tr>
      <w:tr>
        <w:tc>
          <w:tcPr>
            <w:tcW w:type="dxa" w:w="4200"/>
            <w:shd w:fill="FFFFFF" w:color="auto" w:val="clear"/>
            <w:tcMar>
              <w:top w:type="dxa" w:w="80"/>
              <w:left w:type="dxa" w:w="120"/>
              <w:bottom w:type="dxa" w:w="80"/>
              <w:right w:type="dxa" w:w="120"/>
            </w:tcMar>
          </w:tcPr>
          <w:p>
            <w:r>
              <w:rPr>
                <w:b w:val="false"/>
                <w:bCs w:val="false"/>
                <w:color w:val="222222"/>
                <w:sz w:val="20"/>
                <w:szCs w:val="20"/>
              </w:rPr>
              <w:t xml:space="preserve">Date of birth</w:t>
            </w:r>
          </w:p>
        </w:tc>
        <w:tc>
          <w:tcPr>
            <w:tcW w:type="dxa" w:w="5640"/>
            <w:shd w:fill="FFFFFF" w:color="auto" w:val="clear"/>
            <w:tcMar>
              <w:top w:type="dxa" w:w="80"/>
              <w:left w:type="dxa" w:w="120"/>
              <w:bottom w:type="dxa" w:w="80"/>
              <w:right w:type="dxa" w:w="120"/>
            </w:tcMar>
          </w:tcPr>
          <w:p>
            <w:r>
              <w:rPr>
                <w:b w:val="false"/>
                <w:bCs w:val="false"/>
                <w:color w:val="222222"/>
                <w:sz w:val="20"/>
                <w:szCs w:val="20"/>
              </w:rPr>
              <w:t xml:space="preserve">1980-**-**</w:t>
            </w:r>
          </w:p>
        </w:tc>
      </w:tr>
      <w:tr>
        <w:tc>
          <w:tcPr>
            <w:tcW w:type="dxa" w:w="4200"/>
            <w:shd w:fill="EAF1FB" w:color="auto" w:val="clear"/>
            <w:tcMar>
              <w:top w:type="dxa" w:w="80"/>
              <w:left w:type="dxa" w:w="120"/>
              <w:bottom w:type="dxa" w:w="80"/>
              <w:right w:type="dxa" w:w="120"/>
            </w:tcMar>
          </w:tcPr>
          <w:p>
            <w:r>
              <w:rPr>
                <w:b w:val="false"/>
                <w:bCs w:val="false"/>
                <w:color w:val="222222"/>
                <w:sz w:val="20"/>
                <w:szCs w:val="20"/>
              </w:rPr>
              <w:t xml:space="preserve">Phone number</w:t>
            </w:r>
          </w:p>
        </w:tc>
        <w:tc>
          <w:tcPr>
            <w:tcW w:type="dxa" w:w="5640"/>
            <w:shd w:fill="EAF1FB" w:color="auto" w:val="clear"/>
            <w:tcMar>
              <w:top w:type="dxa" w:w="80"/>
              <w:left w:type="dxa" w:w="120"/>
              <w:bottom w:type="dxa" w:w="80"/>
              <w:right w:type="dxa" w:w="120"/>
            </w:tcMar>
          </w:tcPr>
          <w:p>
            <w:r>
              <w:rPr>
                <w:b w:val="false"/>
                <w:bCs w:val="false"/>
                <w:color w:val="222222"/>
                <w:sz w:val="20"/>
                <w:szCs w:val="20"/>
              </w:rPr>
              <w:t xml:space="preserve">***-***-4455</w:t>
            </w:r>
          </w:p>
        </w:tc>
      </w:tr>
    </w:tbl>
    <w:p>
      <w:pPr>
        <w:pStyle w:val="Heading1"/>
        <w:spacing w:after="120" w:before="260"/>
      </w:pPr>
      <w:r>
        <w:rPr>
          <w:b/>
          <w:bCs/>
          <w:color w:val="1F3A5F"/>
          <w:sz w:val="28"/>
          <w:szCs w:val="28"/>
        </w:rPr>
        <w:t xml:space="preserve">4. Governed provider mode (recommended for regulated data)</w:t>
      </w:r>
    </w:p>
    <w:p>
      <w:pPr>
        <w:spacing w:after="120" w:line="276"/>
      </w:pPr>
      <w:r>
        <w:rPr>
          <w:color w:val="222222"/>
          <w:sz w:val="21"/>
          <w:szCs w:val="21"/>
        </w:rPr>
        <w:t xml:space="preserve">Free AI tiers may retain prompts or use them for model training and typically carry no DPA. The platform includes a </w:t>
      </w:r>
      <w:r>
        <w:rPr>
          <w:b/>
          <w:bCs/>
          <w:color w:val="222222"/>
          <w:sz w:val="21"/>
          <w:szCs w:val="21"/>
        </w:rPr>
        <w:t xml:space="preserve">governed mode</w:t>
      </w:r>
      <w:r>
        <w:rPr>
          <w:color w:val="222222"/>
          <w:sz w:val="21"/>
          <w:szCs w:val="21"/>
        </w:rPr>
        <w:t xml:space="preserve"> that, when enabled, restricts every AI call to a DPA-capable provider only:</w:t>
      </w:r>
    </w:p>
    <w:p>
      <w:pPr>
        <w:pStyle w:val="ListParagraph"/>
        <w:numPr>
          <w:ilvl w:val="0"/>
          <w:numId w:val="2"/>
        </w:numPr>
        <w:spacing w:after="80" w:line="272"/>
      </w:pPr>
      <w:r>
        <w:rPr>
          <w:b/>
          <w:bCs/>
          <w:color w:val="222222"/>
          <w:sz w:val="21"/>
          <w:szCs w:val="21"/>
        </w:rPr>
        <w:t xml:space="preserve">AWS Bedrock</w:t>
      </w:r>
      <w:r>
        <w:rPr>
          <w:color w:val="222222"/>
          <w:sz w:val="21"/>
          <w:szCs w:val="21"/>
        </w:rPr>
        <w:t xml:space="preserve"> — runs inside your own AWS tenancy, so even masked samples stay in your cloud environment (strongest option).</w:t>
      </w:r>
    </w:p>
    <w:p>
      <w:pPr>
        <w:pStyle w:val="ListParagraph"/>
        <w:numPr>
          <w:ilvl w:val="0"/>
          <w:numId w:val="2"/>
        </w:numPr>
        <w:spacing w:after="80" w:line="272"/>
      </w:pPr>
      <w:r>
        <w:rPr>
          <w:b/>
          <w:bCs/>
          <w:color w:val="222222"/>
          <w:sz w:val="21"/>
          <w:szCs w:val="21"/>
        </w:rPr>
        <w:t xml:space="preserve">OpenAI / Anthropic (enterprise)</w:t>
      </w:r>
      <w:r>
        <w:rPr>
          <w:color w:val="222222"/>
          <w:sz w:val="21"/>
          <w:szCs w:val="21"/>
        </w:rPr>
        <w:t xml:space="preserve"> — used under a signed DPA with zero-data-retention terms.</w:t>
      </w:r>
    </w:p>
    <w:p>
      <w:pPr>
        <w:spacing w:after="120" w:line="276"/>
      </w:pPr>
      <w:r>
        <w:rPr>
          <w:color w:val="222222"/>
          <w:sz w:val="21"/>
          <w:szCs w:val="21"/>
        </w:rPr>
        <w:t xml:space="preserve">In governed mode the free tiers (Groq, OpenRouter, Gemini free) are never contacted, regardless of configuration, and AI features fail closed with a clear message if no compliant provider is available — they never silently fall back to a free tier.</w:t>
      </w:r>
    </w:p>
    <w:p>
      <w:pPr>
        <w:pStyle w:val="Heading1"/>
        <w:spacing w:after="120" w:before="260"/>
      </w:pPr>
      <w:r>
        <w:rPr>
          <w:b/>
          <w:bCs/>
          <w:color w:val="1F3A5F"/>
          <w:sz w:val="28"/>
          <w:szCs w:val="28"/>
        </w:rPr>
        <w:t xml:space="preserve">5. Additional security &amp; governance controls</w:t>
      </w:r>
    </w:p>
    <w:p>
      <w:pPr>
        <w:pStyle w:val="ListParagraph"/>
        <w:numPr>
          <w:ilvl w:val="0"/>
          <w:numId w:val="2"/>
        </w:numPr>
        <w:spacing w:after="80" w:line="272"/>
      </w:pPr>
      <w:r>
        <w:rPr>
          <w:b/>
          <w:bCs/>
          <w:color w:val="222222"/>
          <w:sz w:val="21"/>
          <w:szCs w:val="21"/>
        </w:rPr>
        <w:t xml:space="preserve">Per-user data isolation</w:t>
      </w:r>
      <w:r>
        <w:rPr>
          <w:color w:val="222222"/>
          <w:sz w:val="21"/>
          <w:szCs w:val="21"/>
        </w:rPr>
        <w:t xml:space="preserve"> — each user's workspace and saved rules are fully segregated.</w:t>
      </w:r>
    </w:p>
    <w:p>
      <w:pPr>
        <w:pStyle w:val="ListParagraph"/>
        <w:numPr>
          <w:ilvl w:val="0"/>
          <w:numId w:val="2"/>
        </w:numPr>
        <w:spacing w:after="80" w:line="272"/>
      </w:pPr>
      <w:r>
        <w:rPr>
          <w:b/>
          <w:bCs/>
          <w:color w:val="222222"/>
          <w:sz w:val="21"/>
          <w:szCs w:val="21"/>
        </w:rPr>
        <w:t xml:space="preserve">Authentication &amp; access control</w:t>
      </w:r>
      <w:r>
        <w:rPr>
          <w:color w:val="222222"/>
          <w:sz w:val="21"/>
          <w:szCs w:val="21"/>
        </w:rPr>
        <w:t xml:space="preserve"> — bcrypt-hashed passwords; role-based access (Admin / Workspace User / Run Only); subscription-expiry enforcement.</w:t>
      </w:r>
    </w:p>
    <w:p>
      <w:pPr>
        <w:pStyle w:val="ListParagraph"/>
        <w:numPr>
          <w:ilvl w:val="0"/>
          <w:numId w:val="2"/>
        </w:numPr>
        <w:spacing w:after="80" w:line="272"/>
      </w:pPr>
      <w:r>
        <w:rPr>
          <w:b/>
          <w:bCs/>
          <w:color w:val="222222"/>
          <w:sz w:val="21"/>
          <w:szCs w:val="21"/>
        </w:rPr>
        <w:t xml:space="preserve">Audit trail</w:t>
      </w:r>
      <w:r>
        <w:rPr>
          <w:color w:val="222222"/>
          <w:sz w:val="21"/>
          <w:szCs w:val="21"/>
        </w:rPr>
        <w:t xml:space="preserve"> — administrative actions (role changes, blocks, data clean-up, deletions) are logged.</w:t>
      </w:r>
    </w:p>
    <w:p>
      <w:pPr>
        <w:pStyle w:val="ListParagraph"/>
        <w:numPr>
          <w:ilvl w:val="0"/>
          <w:numId w:val="2"/>
        </w:numPr>
        <w:spacing w:after="80" w:line="272"/>
      </w:pPr>
      <w:r>
        <w:rPr>
          <w:b/>
          <w:bCs/>
          <w:color w:val="222222"/>
          <w:sz w:val="21"/>
          <w:szCs w:val="21"/>
        </w:rPr>
        <w:t xml:space="preserve">Right to erasure</w:t>
      </w:r>
      <w:r>
        <w:rPr>
          <w:color w:val="222222"/>
          <w:sz w:val="21"/>
          <w:szCs w:val="21"/>
        </w:rPr>
        <w:t xml:space="preserve"> — administrators can purge a user's workspace and rules, or delete the account and its data entirely.</w:t>
      </w:r>
    </w:p>
    <w:p>
      <w:pPr>
        <w:pStyle w:val="Heading1"/>
        <w:spacing w:after="120" w:before="260"/>
      </w:pPr>
      <w:r>
        <w:rPr>
          <w:b/>
          <w:bCs/>
          <w:color w:val="1F3A5F"/>
          <w:sz w:val="28"/>
          <w:szCs w:val="28"/>
        </w:rPr>
        <w:t xml:space="preserve">6. Shared responsibilities</w:t>
      </w:r>
    </w:p>
    <w:p>
      <w:pPr>
        <w:spacing w:after="120" w:line="276"/>
      </w:pPr>
      <w:r>
        <w:rPr>
          <w:color w:val="222222"/>
          <w:sz w:val="21"/>
          <w:szCs w:val="21"/>
        </w:rPr>
        <w:t xml:space="preserve">To be fully transparent, the following depend on the deployment and contract rather than the application logic:</w:t>
      </w:r>
    </w:p>
    <w:p>
      <w:pPr>
        <w:pStyle w:val="ListParagraph"/>
        <w:numPr>
          <w:ilvl w:val="0"/>
          <w:numId w:val="2"/>
        </w:numPr>
        <w:spacing w:after="80" w:line="272"/>
      </w:pPr>
      <w:r>
        <w:rPr>
          <w:b/>
          <w:bCs/>
          <w:color w:val="222222"/>
          <w:sz w:val="21"/>
          <w:szCs w:val="21"/>
        </w:rPr>
        <w:t xml:space="preserve">PII masking is pattern-based</w:t>
      </w:r>
      <w:r>
        <w:rPr>
          <w:color w:val="222222"/>
          <w:sz w:val="21"/>
          <w:szCs w:val="21"/>
        </w:rPr>
        <w:t xml:space="preserve"> — a strong control, but an unusual custom identifier could appear within a sample value.</w:t>
      </w:r>
    </w:p>
    <w:p>
      <w:pPr>
        <w:pStyle w:val="ListParagraph"/>
        <w:numPr>
          <w:ilvl w:val="0"/>
          <w:numId w:val="2"/>
        </w:numPr>
        <w:spacing w:after="80" w:line="272"/>
      </w:pPr>
      <w:r>
        <w:rPr>
          <w:b/>
          <w:bCs/>
          <w:color w:val="222222"/>
          <w:sz w:val="21"/>
          <w:szCs w:val="21"/>
        </w:rPr>
        <w:t xml:space="preserve">Encryption at rest</w:t>
      </w:r>
      <w:r>
        <w:rPr>
          <w:color w:val="222222"/>
          <w:sz w:val="21"/>
          <w:szCs w:val="21"/>
        </w:rPr>
        <w:t xml:space="preserve"> is provided by the hosting platform / storage volume.</w:t>
      </w:r>
    </w:p>
    <w:p>
      <w:pPr>
        <w:pStyle w:val="ListParagraph"/>
        <w:numPr>
          <w:ilvl w:val="0"/>
          <w:numId w:val="2"/>
        </w:numPr>
        <w:spacing w:after="80" w:line="272"/>
      </w:pPr>
      <w:r>
        <w:rPr>
          <w:b/>
          <w:bCs/>
          <w:color w:val="222222"/>
          <w:sz w:val="21"/>
          <w:szCs w:val="21"/>
        </w:rPr>
        <w:t xml:space="preserve">Encryption in transit</w:t>
      </w:r>
      <w:r>
        <w:rPr>
          <w:color w:val="222222"/>
          <w:sz w:val="21"/>
          <w:szCs w:val="21"/>
        </w:rPr>
        <w:t xml:space="preserve"> (HTTPS/TLS) is provided by the hosting platform.</w:t>
      </w:r>
    </w:p>
    <w:p>
      <w:pPr>
        <w:pStyle w:val="ListParagraph"/>
        <w:numPr>
          <w:ilvl w:val="0"/>
          <w:numId w:val="2"/>
        </w:numPr>
        <w:spacing w:after="80" w:line="272"/>
      </w:pPr>
      <w:r>
        <w:rPr>
          <w:b/>
          <w:bCs/>
          <w:color w:val="222222"/>
          <w:sz w:val="21"/>
          <w:szCs w:val="21"/>
        </w:rPr>
        <w:t xml:space="preserve">Data retention</w:t>
      </w:r>
      <w:r>
        <w:rPr>
          <w:color w:val="222222"/>
          <w:sz w:val="21"/>
          <w:szCs w:val="21"/>
        </w:rPr>
        <w:t xml:space="preserve"> — a retention and deletion schedule should be defined per client contract.</w:t>
      </w:r>
    </w:p>
    <w:p>
      <w:pPr>
        <w:pBdr>
          <w:top w:val="single" w:color="CCCCCC" w:sz="8" w:space="8"/>
        </w:pBdr>
        <w:spacing w:before="300"/>
      </w:pPr>
      <w:r>
        <w:rPr>
          <w:i/>
          <w:iCs/>
          <w:color w:val="555555"/>
          <w:sz w:val="18"/>
          <w:szCs w:val="18"/>
        </w:rPr>
        <w:t xml:space="preserve">This document describes the product's data-handling design and is provided for client due-diligence. It is not a contractual warranty; specific commitments are governed by the applicable service agreement.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2026-07-22T17:03:30.160Z</dcterms:created>
  <dcterms:modified xsi:type="dcterms:W3CDTF">2026-07-22T17:03:30.161Z</dcterms:modified>
</cp:coreProperties>
</file>

<file path=docProps/custom.xml><?xml version="1.0" encoding="utf-8"?>
<Properties xmlns="http://schemas.openxmlformats.org/officeDocument/2006/custom-properties" xmlns:vt="http://schemas.openxmlformats.org/officeDocument/2006/docPropsVTypes"/>
</file>