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38"/>
          <w:szCs w:val="38"/>
        </w:rPr>
        <w:t xml:space="preserve">AI DataValidator</w:t>
      </w:r>
    </w:p>
    <w:p>
      <w:pPr>
        <w:spacing w:after="60"/>
      </w:pPr>
      <w:r>
        <w:rPr>
          <w:b/>
          <w:bCs/>
          <w:color w:val="1F3A5F"/>
          <w:sz w:val="28"/>
          <w:szCs w:val="28"/>
        </w:rPr>
        <w:t xml:space="preserve">Incident Response &amp; Rollback Plan</w:t>
      </w:r>
    </w:p>
    <w:p>
      <w:pPr>
        <w:pBdr>
          <w:bottom w:val="single" w:color="2563EB" w:sz="12" w:space="6"/>
        </w:pBdr>
        <w:spacing w:after="160"/>
      </w:pPr>
      <w:r>
        <w:rPr>
          <w:i/>
          <w:iCs/>
          <w:color w:val="555555"/>
          <w:sz w:val="20"/>
          <w:szCs w:val="20"/>
        </w:rPr>
        <w:t xml:space="preserve">For client security &amp; risk review — 2026-07-23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Purpose. </w:t>
      </w:r>
      <w:r>
        <w:rPr>
          <w:color w:val="222222"/>
          <w:sz w:val="21"/>
          <w:szCs w:val="21"/>
        </w:rPr>
        <w:t xml:space="preserve">Defines how AI-related incidents are classified, contained, rolled back, communicated, and learned from — covering the response and continuous-improvement controls a client’s risk team expects.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1. Severity levels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40"/>
        <w:gridCol w:w="1900"/>
      </w:tblGrid>
      <w:tr>
        <w:trPr>
          <w:tblHeader/>
        </w:trPr>
        <w:tc>
          <w:tcPr>
            <w:tcW w:type="dxa" w:w="11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5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34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 target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SEV-1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Critical</w:t>
            </w:r>
          </w:p>
        </w:tc>
        <w:tc>
          <w:tcPr>
            <w:tcW w:type="dxa" w:w="5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Confirmed exposure of client data, unauthorized access, or wrong results delivered to a client.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11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SEV-2</w:t>
            </w:r>
          </w:p>
        </w:tc>
        <w:tc>
          <w:tcPr>
            <w:tcW w:type="dxa" w:w="15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534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producing degraded/misleading output, partial outage, or a failed control.</w:t>
            </w:r>
          </w:p>
        </w:tc>
        <w:tc>
          <w:tcPr>
            <w:tcW w:type="dxa" w:w="19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business day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SEV-3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  <w:tc>
          <w:tcPr>
            <w:tcW w:type="dxa" w:w="5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Minor defect, single-user issue, no data or correctness impact.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Next release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2. Detection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222"/>
          <w:sz w:val="21"/>
          <w:szCs w:val="21"/>
        </w:rPr>
        <w:t xml:space="preserve">Admin </w:t>
      </w:r>
      <w:r>
        <w:rPr>
          <w:b/>
          <w:bCs/>
          <w:color w:val="222222"/>
          <w:sz w:val="21"/>
          <w:szCs w:val="21"/>
        </w:rPr>
        <w:t xml:space="preserve">audit log</w:t>
      </w:r>
      <w:r>
        <w:rPr>
          <w:color w:val="222222"/>
          <w:sz w:val="21"/>
          <w:szCs w:val="21"/>
        </w:rPr>
        <w:t xml:space="preserve"> (role changes, blocks, data clean-up, deletions) and the live activity feed.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222"/>
          <w:sz w:val="21"/>
          <w:szCs w:val="21"/>
        </w:rPr>
        <w:t xml:space="preserve">Per-run processing logs and per-user token-usage tracking.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222"/>
          <w:sz w:val="21"/>
          <w:szCs w:val="21"/>
        </w:rPr>
        <w:t xml:space="preserve">Provider-error signals from the multi-provider fallback chain; user reports.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3. Response by incident type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94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cause</w:t>
            </w:r>
          </w:p>
        </w:tc>
        <w:tc>
          <w:tcPr>
            <w:tcW w:type="dxa" w:w="494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Containment / response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exposure / privacy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Provider misconfig, masking gap, wrong recipient</w:t>
            </w:r>
          </w:p>
        </w:tc>
        <w:tc>
          <w:tcPr>
            <w:tcW w:type="dxa" w:w="49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Enable DPA_ONLY or remove provider keys (AI fails closed); assess scope from audit log; notify affected client per DPA timelines.</w:t>
            </w:r>
          </w:p>
        </w:tc>
      </w:tr>
      <w:tr>
        <w:tc>
          <w:tcPr>
            <w:tcW w:type="dxa" w:w="23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Incorrect results</w:t>
            </w:r>
          </w:p>
        </w:tc>
        <w:tc>
          <w:tcPr>
            <w:tcW w:type="dxa" w:w="26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Bad rule, schema drift, model error</w:t>
            </w:r>
          </w:p>
        </w:tc>
        <w:tc>
          <w:tcPr>
            <w:tcW w:type="dxa" w:w="494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the offending rule in Dataset Memory; re-run deterministically; re-issue corrected output; confirm engine (not model) produced the figure.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Unauthorized access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Credential compromise, role error</w:t>
            </w:r>
          </w:p>
        </w:tc>
        <w:tc>
          <w:tcPr>
            <w:tcW w:type="dxa" w:w="49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Block/disable the user; rotate JWT_SECRET; review audit log; reset affected credentials.</w:t>
            </w:r>
          </w:p>
        </w:tc>
      </w:tr>
      <w:tr>
        <w:tc>
          <w:tcPr>
            <w:tcW w:type="dxa" w:w="23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Availability / provider outage</w:t>
            </w:r>
          </w:p>
        </w:tc>
        <w:tc>
          <w:tcPr>
            <w:tcW w:type="dxa" w:w="26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quota/outage, deploy failure</w:t>
            </w:r>
          </w:p>
        </w:tc>
        <w:tc>
          <w:tcPr>
            <w:tcW w:type="dxa" w:w="494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Multi-provider fallback auto-engages; if a deploy is at fault, roll back (below).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 misbehavior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injection, runaway tool loop</w:t>
            </w:r>
          </w:p>
        </w:tc>
        <w:tc>
          <w:tcPr>
            <w:tcW w:type="dxa" w:w="49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8-iteration cap bounds it; disable AI via provider keys; deterministic engine remains available without the LLM.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4. Rollback mechanisms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Deployment </w:t>
      </w:r>
      <w:r>
        <w:rPr>
          <w:color w:val="222222"/>
          <w:sz w:val="21"/>
          <w:szCs w:val="21"/>
        </w:rPr>
        <w:t xml:space="preserve">— revert the change in version control and redeploy the previous known-good build.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Data </w:t>
      </w:r>
      <w:r>
        <w:rPr>
          <w:color w:val="222222"/>
          <w:sz w:val="21"/>
          <w:szCs w:val="21"/>
        </w:rPr>
        <w:t xml:space="preserve">— workspace database and rules persist on the mounted volume; saved runs can be re-exported.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Disable AI safely </w:t>
      </w:r>
      <w:r>
        <w:rPr>
          <w:color w:val="222222"/>
          <w:sz w:val="21"/>
          <w:szCs w:val="21"/>
        </w:rPr>
        <w:t xml:space="preserve">— remove provider keys or set DPA_ONLY with no DPA provider: AI features fail closed while the deterministic engine keeps working.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Bad rule </w:t>
      </w:r>
      <w:r>
        <w:rPr>
          <w:color w:val="222222"/>
          <w:sz w:val="21"/>
          <w:szCs w:val="21"/>
        </w:rPr>
        <w:t xml:space="preserve">— delete it in Dataset Memory; the next run reverts to safe defaults.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User-level </w:t>
      </w:r>
      <w:r>
        <w:rPr>
          <w:color w:val="222222"/>
          <w:sz w:val="21"/>
          <w:szCs w:val="21"/>
        </w:rPr>
        <w:t xml:space="preserve">— block a user, purge their data, or delete the account.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5. Communication &amp; escalation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SEV-1/2 are escalated to the product owner immediately. Affected clients are notified per the data-processing agreement; where personal data is involved, breach-notification timelines in the applicable regulation are followed.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6. Post-incident &amp; continuous improvement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222"/>
          <w:sz w:val="21"/>
          <w:szCs w:val="21"/>
        </w:rPr>
        <w:t xml:space="preserve">Record a brief post-incident note: what happened, root cause, fix, and preventive change.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222"/>
          <w:sz w:val="21"/>
          <w:szCs w:val="21"/>
        </w:rPr>
        <w:t xml:space="preserve">Encode the learning — update a validation rule, a control, or this plan. The product’s Dataset Memory also captures corrected rules so the same mistake is not repeated on future runs.</w:t>
      </w:r>
    </w:p>
    <w:p>
      <w:pPr>
        <w:pBdr>
          <w:top w:val="single" w:color="CCCCCC" w:sz="8" w:space="8"/>
        </w:pBdr>
        <w:spacing w:before="300"/>
      </w:pPr>
      <w:r>
        <w:rPr>
          <w:i/>
          <w:iCs/>
          <w:color w:val="555555"/>
          <w:sz w:val="18"/>
          <w:szCs w:val="18"/>
        </w:rPr>
        <w:t xml:space="preserve">This document describes the product's design and operating practices for due-diligence. It is not a contractual warranty; specific commitments are governed by the applicable service agreement.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2026-07-23T03:53:58.405Z</dcterms:created>
  <dcterms:modified xsi:type="dcterms:W3CDTF">2026-07-23T03:53:58.405Z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