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563EB"/>
          <w:sz w:val="38"/>
          <w:szCs w:val="38"/>
        </w:rPr>
        <w:t xml:space="preserve">AI DataValidator</w:t>
      </w:r>
    </w:p>
    <w:p>
      <w:pPr>
        <w:spacing w:after="60"/>
      </w:pPr>
      <w:r>
        <w:rPr>
          <w:b/>
          <w:bCs/>
          <w:color w:val="1F3A5F"/>
          <w:sz w:val="28"/>
          <w:szCs w:val="28"/>
        </w:rPr>
        <w:t xml:space="preserve">AI Risk Assessment</w:t>
      </w:r>
    </w:p>
    <w:p>
      <w:pPr>
        <w:pBdr>
          <w:bottom w:val="single" w:color="2563EB" w:sz="12" w:space="6"/>
        </w:pBdr>
        <w:spacing w:after="160"/>
      </w:pPr>
      <w:r>
        <w:rPr>
          <w:i/>
          <w:iCs/>
          <w:color w:val="555555"/>
          <w:sz w:val="20"/>
          <w:szCs w:val="20"/>
        </w:rPr>
        <w:t xml:space="preserve">For client security &amp; risk review — 2026-07-23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Purpose. </w:t>
      </w:r>
      <w:r>
        <w:rPr>
          <w:color w:val="222222"/>
          <w:sz w:val="21"/>
          <w:szCs w:val="21"/>
        </w:rPr>
        <w:t xml:space="preserve">This assessment identifies the AI-related risks of AI DataValidator, rates their inherent likelihood/impact, records the controls in place, and states the residual risk after those controls.</w:t>
      </w:r>
    </w:p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1. System classification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AI DataValidator is a </w:t>
      </w:r>
      <w:r>
        <w:rPr>
          <w:b/>
          <w:bCs/>
          <w:color w:val="222222"/>
          <w:sz w:val="21"/>
          <w:szCs w:val="21"/>
        </w:rPr>
        <w:t xml:space="preserve">limited-autonomy, decision-support agent</w:t>
      </w:r>
      <w:r>
        <w:rPr>
          <w:color w:val="222222"/>
          <w:sz w:val="21"/>
          <w:szCs w:val="21"/>
        </w:rPr>
        <w:t xml:space="preserve"> — not an autonomous decision-maker. The LLM plans, maps schemas and authors validation rules; a </w:t>
      </w:r>
      <w:r>
        <w:rPr>
          <w:b/>
          <w:bCs/>
          <w:color w:val="222222"/>
          <w:sz w:val="21"/>
          <w:szCs w:val="21"/>
        </w:rPr>
        <w:t xml:space="preserve">deterministic engine computes all outputs</w:t>
      </w:r>
      <w:r>
        <w:rPr>
          <w:color w:val="222222"/>
          <w:sz w:val="21"/>
          <w:szCs w:val="21"/>
        </w:rPr>
        <w:t xml:space="preserve">, and a human confirms material decisions. Under common risk taxonomies this places the system in a </w:t>
      </w:r>
      <w:r>
        <w:rPr>
          <w:b/>
          <w:bCs/>
          <w:color w:val="222222"/>
          <w:sz w:val="21"/>
          <w:szCs w:val="21"/>
        </w:rPr>
        <w:t xml:space="preserve">lower risk tier</w:t>
      </w:r>
      <w:r>
        <w:rPr>
          <w:color w:val="222222"/>
          <w:sz w:val="21"/>
          <w:szCs w:val="21"/>
        </w:rPr>
        <w:t xml:space="preserve"> than a fully autonomous agent, because the model cannot directly produce or act on financial figures.</w:t>
      </w:r>
    </w:p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2. Risk register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Inherent risk is rated before controls; residual risk after the controls in the third column.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150"/>
        <w:gridCol w:w="4090"/>
        <w:gridCol w:w="14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 scenario</w:t>
            </w:r>
          </w:p>
        </w:tc>
        <w:tc>
          <w:tcPr>
            <w:tcW w:type="dxa" w:w="115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Inherent</w:t>
            </w:r>
          </w:p>
        </w:tc>
        <w:tc>
          <w:tcPr>
            <w:tcW w:type="dxa" w:w="409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Controls in place</w:t>
            </w:r>
          </w:p>
        </w:tc>
        <w:tc>
          <w:tcPr>
            <w:tcW w:type="dxa" w:w="14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Residual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Incorrect reconciliation / data-quality figures produced by AI</w:t>
            </w:r>
          </w:p>
        </w:tc>
        <w:tc>
          <w:tcPr>
            <w:tcW w:type="dxa" w:w="11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  <w:tc>
          <w:tcPr>
            <w:tcW w:type="dxa" w:w="409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r>
            <w:rPr>
              <w:color w:val="222222"/>
              <w:sz w:val="21"/>
              <w:szCs w:val="21"/>
            </w:rPr>
            <w:t xml:space="preserve">Deterministic engine computes every number; the LLM only authors rules. AI cannot generate a result value.</w:t>
          </w:r>
          <w:p/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32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Exposure of PII / sensitive records to a third-party LLM</w:t>
            </w:r>
          </w:p>
        </w:tc>
        <w:tc>
          <w:tcPr>
            <w:tcW w:type="dxa" w:w="115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45309"/>
                <w:sz w:val="19"/>
                <w:szCs w:val="19"/>
              </w:rPr>
              <w:t xml:space="preserve">Medium</w:t>
            </w:r>
          </w:p>
        </w:tc>
        <w:tc>
          <w:tcPr>
            <w:tcW w:type="dxa" w:w="409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r>
            <w:rPr>
              <w:color w:val="222222"/>
              <w:sz w:val="21"/>
              <w:szCs w:val="21"/>
            </w:rPr>
            <w:t xml:space="preserve">Full dataset never sent; only masked column samples for schema mapping. Local PII scan + masking; DPA_ONLY mode restricts to DPA providers; reference-doc search runs on a local model.</w:t>
          </w:r>
          <w:p/>
        </w:tc>
        <w:tc>
          <w:tcPr>
            <w:tcW w:type="dxa" w:w="14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Prompt injection via uploaded data or reference documents</w:t>
            </w:r>
          </w:p>
        </w:tc>
        <w:tc>
          <w:tcPr>
            <w:tcW w:type="dxa" w:w="11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45309"/>
                <w:sz w:val="19"/>
                <w:szCs w:val="19"/>
              </w:rPr>
              <w:t xml:space="preserve">Medium</w:t>
            </w:r>
          </w:p>
        </w:tc>
        <w:tc>
          <w:tcPr>
            <w:tcW w:type="dxa" w:w="409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r>
            <w:rPr>
              <w:color w:val="222222"/>
              <w:sz w:val="21"/>
              <w:szCs w:val="21"/>
            </w:rPr>
            <w:t xml:space="preserve">LLM output is constrained to rule parameters that the deterministic engine validates; arithmetic is AST-whitelisted; no arbitrary code execution; fixed 6-tool set; 8-iteration cap.</w:t>
          </w:r>
          <w:p/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32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Model hallucination while authoring a rule / key</w:t>
            </w:r>
          </w:p>
        </w:tc>
        <w:tc>
          <w:tcPr>
            <w:tcW w:type="dxa" w:w="115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45309"/>
                <w:sz w:val="19"/>
                <w:szCs w:val="19"/>
              </w:rPr>
              <w:t xml:space="preserve">Medium</w:t>
            </w:r>
          </w:p>
        </w:tc>
        <w:tc>
          <w:tcPr>
            <w:tcW w:type="dxa" w:w="409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r>
            <w:rPr>
              <w:color w:val="222222"/>
              <w:sz w:val="21"/>
              <w:szCs w:val="21"/>
            </w:rPr>
            <w:t xml:space="preserve">User reviews and confirms rules; explicit user input overrides model suggestions (user-first key precedence); results are recomputed deterministically and shown before saving.</w:t>
          </w:r>
          <w:p/>
        </w:tc>
        <w:tc>
          <w:tcPr>
            <w:tcW w:type="dxa" w:w="14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Unauthorized access or cross-user data leakage</w:t>
            </w:r>
          </w:p>
        </w:tc>
        <w:tc>
          <w:tcPr>
            <w:tcW w:type="dxa" w:w="11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91C1C"/>
                <w:sz w:val="19"/>
                <w:szCs w:val="19"/>
              </w:rPr>
              <w:t xml:space="preserve">High</w:t>
            </w:r>
          </w:p>
        </w:tc>
        <w:tc>
          <w:tcPr>
            <w:tcW w:type="dxa" w:w="409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r>
            <w:rPr>
              <w:color w:val="222222"/>
              <w:sz w:val="21"/>
              <w:szCs w:val="21"/>
            </w:rPr>
            <w:t xml:space="preserve">Per-user workspace isolation; role-based access (Admin / Workspace User / Run Only); bcrypt-hashed passwords; subscription-expiry gating on every run.</w:t>
          </w:r>
          <w:p/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32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One user exhausting the shared LLM quota</w:t>
            </w:r>
          </w:p>
        </w:tc>
        <w:tc>
          <w:tcPr>
            <w:tcW w:type="dxa" w:w="115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45309"/>
                <w:sz w:val="19"/>
                <w:szCs w:val="19"/>
              </w:rPr>
              <w:t xml:space="preserve">Medium</w:t>
            </w:r>
          </w:p>
        </w:tc>
        <w:tc>
          <w:tcPr>
            <w:tcW w:type="dxa" w:w="409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r>
            <w:rPr>
              <w:color w:val="222222"/>
              <w:sz w:val="21"/>
              <w:szCs w:val="21"/>
            </w:rPr>
            <w:t xml:space="preserve">Per-user monthly token caps; multi-provider fallback chain if a provider is exhausted.</w:t>
          </w:r>
          <w:p/>
        </w:tc>
        <w:tc>
          <w:tcPr>
            <w:tcW w:type="dxa" w:w="14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Data loss on restart / redeploy</w:t>
            </w:r>
          </w:p>
        </w:tc>
        <w:tc>
          <w:tcPr>
            <w:tcW w:type="dxa" w:w="11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91C1C"/>
                <w:sz w:val="19"/>
                <w:szCs w:val="19"/>
              </w:rPr>
              <w:t xml:space="preserve">High</w:t>
            </w:r>
          </w:p>
        </w:tc>
        <w:tc>
          <w:tcPr>
            <w:tcW w:type="dxa" w:w="409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r>
            <w:rPr>
              <w:color w:val="222222"/>
              <w:sz w:val="21"/>
              <w:szCs w:val="21"/>
            </w:rPr>
            <w:t xml:space="preserve">Workspace database and saved rules persisted on a mounted volume; admin can export/save runs.</w:t>
          </w:r>
          <w:p/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32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Data retained longer than necessary</w:t>
            </w:r>
          </w:p>
        </w:tc>
        <w:tc>
          <w:tcPr>
            <w:tcW w:type="dxa" w:w="115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45309"/>
                <w:sz w:val="19"/>
                <w:szCs w:val="19"/>
              </w:rPr>
              <w:t xml:space="preserve">Medium</w:t>
            </w:r>
          </w:p>
        </w:tc>
        <w:tc>
          <w:tcPr>
            <w:tcW w:type="dxa" w:w="409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r>
            <w:rPr>
              <w:color w:val="222222"/>
              <w:sz w:val="21"/>
              <w:szCs w:val="21"/>
            </w:rPr>
            <w:t xml:space="preserve">Admin “Clean up” purges a user’s workspace/rules; account deletion removes data. Formal retention schedule to be defined per client contract.</w:t>
          </w:r>
          <w:p/>
        </w:tc>
        <w:tc>
          <w:tcPr>
            <w:tcW w:type="dxa" w:w="14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45309"/>
                <w:sz w:val="19"/>
                <w:szCs w:val="19"/>
              </w:rPr>
              <w:t xml:space="preserve">Medium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3. Residual risks requiring attention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222222"/>
          <w:sz w:val="21"/>
          <w:szCs w:val="21"/>
        </w:rPr>
        <w:t xml:space="preserve">Data retention </w:t>
      </w:r>
      <w:r>
        <w:rPr>
          <w:color w:val="222222"/>
          <w:sz w:val="21"/>
          <w:szCs w:val="21"/>
        </w:rPr>
        <w:t xml:space="preserve">— define and document a retention/deletion schedule per client contract (currently manual clean-up only).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222222"/>
          <w:sz w:val="21"/>
          <w:szCs w:val="21"/>
        </w:rPr>
        <w:t xml:space="preserve">Independent assurance </w:t>
      </w:r>
      <w:r>
        <w:rPr>
          <w:color w:val="222222"/>
          <w:sz w:val="21"/>
          <w:szCs w:val="21"/>
        </w:rPr>
        <w:t xml:space="preserve">— no third-party certification (SOC 2 / ISO 27001) yet; on the roadmap. Encryption at rest and TLS are provided by the hosting platform.</w:t>
      </w:r>
    </w:p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4. Review cadence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This assessment is reviewed on material change to the AI pipeline, the provider configuration, or the data types processed, and at minimum annually.</w:t>
      </w:r>
    </w:p>
    <w:p>
      <w:pPr>
        <w:pBdr>
          <w:top w:val="single" w:color="CCCCCC" w:sz="8" w:space="8"/>
        </w:pBdr>
        <w:spacing w:before="300"/>
      </w:pPr>
      <w:r>
        <w:rPr>
          <w:i/>
          <w:iCs/>
          <w:color w:val="555555"/>
          <w:sz w:val="18"/>
          <w:szCs w:val="18"/>
        </w:rPr>
        <w:t xml:space="preserve">This document describes the product's design and operating practices for due-diligence. It is not a contractual warranty; specific commitments are governed by the applicable service agreement.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2026-07-23T03:53:58.401Z</dcterms:created>
  <dcterms:modified xsi:type="dcterms:W3CDTF">2026-07-23T03:53:58.401Z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