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38"/>
          <w:szCs w:val="38"/>
        </w:rPr>
        <w:t xml:space="preserve">AI DataValidator</w:t>
      </w:r>
    </w:p>
    <w:p>
      <w:pPr>
        <w:spacing w:after="60"/>
      </w:pPr>
      <w:r>
        <w:rPr>
          <w:b/>
          <w:bCs/>
          <w:color w:val="1F3A5F"/>
          <w:sz w:val="28"/>
          <w:szCs w:val="28"/>
        </w:rPr>
        <w:t xml:space="preserve">AI Risk Assessment</w:t>
      </w:r>
    </w:p>
    <w:p>
      <w:pPr>
        <w:pBdr>
          <w:bottom w:val="single" w:color="2563EB" w:sz="12" w:space="6"/>
        </w:pBdr>
        <w:spacing w:after="160"/>
      </w:pPr>
      <w:r>
        <w:rPr>
          <w:i/>
          <w:iCs/>
          <w:color w:val="555555"/>
          <w:sz w:val="20"/>
          <w:szCs w:val="20"/>
        </w:rPr>
        <w:t xml:space="preserve">For client security &amp; risk review — 2026-07-23</w:t>
      </w:r>
    </w:p>
    <w:p>
      <w:pPr>
        <w:spacing w:after="120" w:line="276"/>
      </w:pPr>
      <w:r>
        <w:rPr>
          <w:b/>
          <w:bCs/>
          <w:color w:val="222222"/>
          <w:sz w:val="21"/>
          <w:szCs w:val="21"/>
        </w:rPr>
        <w:t xml:space="preserve">Purpose. </w:t>
      </w:r>
      <w:r>
        <w:rPr>
          <w:color w:val="222222"/>
          <w:sz w:val="21"/>
          <w:szCs w:val="21"/>
        </w:rPr>
        <w:t xml:space="preserve">This assessment identifies the AI-related risks of AI DataValidator, rates their inherent likelihood/impact, records the controls in place, and states the residual risk after those controls.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1. System classification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AI DataValidator is a </w:t>
      </w:r>
      <w:r>
        <w:rPr>
          <w:b/>
          <w:bCs/>
          <w:color w:val="222222"/>
          <w:sz w:val="21"/>
          <w:szCs w:val="21"/>
        </w:rPr>
        <w:t xml:space="preserve">limited-autonomy, decision-support agent</w:t>
      </w:r>
      <w:r>
        <w:rPr>
          <w:color w:val="222222"/>
          <w:sz w:val="21"/>
          <w:szCs w:val="21"/>
        </w:rPr>
        <w:t xml:space="preserve"> — not an autonomous decision-maker. The LLM plans, maps schemas and authors validation rules; a </w:t>
      </w:r>
      <w:r>
        <w:rPr>
          <w:b/>
          <w:bCs/>
          <w:color w:val="222222"/>
          <w:sz w:val="21"/>
          <w:szCs w:val="21"/>
        </w:rPr>
        <w:t xml:space="preserve">deterministic engine computes all outputs</w:t>
      </w:r>
      <w:r>
        <w:rPr>
          <w:color w:val="222222"/>
          <w:sz w:val="21"/>
          <w:szCs w:val="21"/>
        </w:rPr>
        <w:t xml:space="preserve">, and a human confirms material decisions. Under common risk taxonomies this places the system in a </w:t>
      </w:r>
      <w:r>
        <w:rPr>
          <w:b/>
          <w:bCs/>
          <w:color w:val="222222"/>
          <w:sz w:val="21"/>
          <w:szCs w:val="21"/>
        </w:rPr>
        <w:t xml:space="preserve">lower risk tier</w:t>
      </w:r>
      <w:r>
        <w:rPr>
          <w:color w:val="222222"/>
          <w:sz w:val="21"/>
          <w:szCs w:val="21"/>
        </w:rPr>
        <w:t xml:space="preserve"> than a fully autonomous agent, because the model cannot directly produce or act on financial figures.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2. Risk register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Inherent risk is rated before controls; residual risk after the controls in the third column.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50"/>
        <w:gridCol w:w="4090"/>
        <w:gridCol w:w="140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scenario</w:t>
            </w:r>
          </w:p>
        </w:tc>
        <w:tc>
          <w:tcPr>
            <w:tcW w:type="dxa" w:w="115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Inherent</w:t>
            </w:r>
          </w:p>
        </w:tc>
        <w:tc>
          <w:tcPr>
            <w:tcW w:type="dxa" w:w="409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Controls in place</w:t>
            </w:r>
          </w:p>
        </w:tc>
        <w:tc>
          <w:tcPr>
            <w:tcW w:type="dxa" w:w="14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Residual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Incorrect reconciliation / data-quality figures produced by AI</w:t>
            </w:r>
          </w:p>
        </w:tc>
        <w:tc>
          <w:tcPr>
            <w:tcW w:type="dxa" w:w="11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  <w:tc>
          <w:tcPr>
            <w:tcW w:type="dxa" w:w="40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Deterministic engine computes every number; the LLM only authors rules. AI cannot generate a result value.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Exposure of PII / sensitive records to a third-party LLM</w:t>
            </w:r>
          </w:p>
        </w:tc>
        <w:tc>
          <w:tcPr>
            <w:tcW w:type="dxa" w:w="115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409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Full dataset never sent; only masked column samples for schema mapping. Local PII scan + masking; DPA_ONLY mode restricts to DPA providers; reference-doc search runs on a local model.</w:t>
            </w:r>
          </w:p>
        </w:tc>
        <w:tc>
          <w:tcPr>
            <w:tcW w:type="dxa" w:w="14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 injection via uploaded data or reference documents</w:t>
            </w:r>
          </w:p>
        </w:tc>
        <w:tc>
          <w:tcPr>
            <w:tcW w:type="dxa" w:w="11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40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LLM output is constrained to rule parameters that the deterministic engine validates; arithmetic is AST-whitelisted; no arbitrary code execution; fixed 6-tool set; 8-iteration cap.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hallucination while authoring a rule / key</w:t>
            </w:r>
          </w:p>
        </w:tc>
        <w:tc>
          <w:tcPr>
            <w:tcW w:type="dxa" w:w="115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409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User reviews and confirms rules; explicit user input overrides model suggestions (user-first key precedence); results are recomputed deterministically and shown before saving.</w:t>
            </w:r>
          </w:p>
        </w:tc>
        <w:tc>
          <w:tcPr>
            <w:tcW w:type="dxa" w:w="14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Unauthorized access or cross-user data leakage</w:t>
            </w:r>
          </w:p>
        </w:tc>
        <w:tc>
          <w:tcPr>
            <w:tcW w:type="dxa" w:w="11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40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Per-user workspace isolation; role-based access (Admin / Workspace User / Run Only); bcrypt-hashed passwords; subscription-expiry gating on every run.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user exhausting the shared LLM quota</w:t>
            </w:r>
          </w:p>
        </w:tc>
        <w:tc>
          <w:tcPr>
            <w:tcW w:type="dxa" w:w="115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409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Per-user monthly token caps; multi-provider fallback chain if a provider is exhausted.</w:t>
            </w:r>
          </w:p>
        </w:tc>
        <w:tc>
          <w:tcPr>
            <w:tcW w:type="dxa" w:w="14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loss on restart / redeploy</w:t>
            </w:r>
          </w:p>
        </w:tc>
        <w:tc>
          <w:tcPr>
            <w:tcW w:type="dxa" w:w="11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409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Workspace database and saved rules persisted on a mounted volume; admin can export/save runs.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retained longer than necessary</w:t>
            </w:r>
          </w:p>
        </w:tc>
        <w:tc>
          <w:tcPr>
            <w:tcW w:type="dxa" w:w="115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409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222222"/>
                <w:sz w:val="21"/>
                <w:szCs w:val="21"/>
              </w:rPr>
              <w:t xml:space="preserve">Admin “Clean up” purges a user’s workspace/rules; account deletion removes data. Formal retention schedule to be defined per client contract.</w:t>
            </w:r>
          </w:p>
        </w:tc>
        <w:tc>
          <w:tcPr>
            <w:tcW w:type="dxa" w:w="1400"/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3. Residual risks requiring attention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1"/>
          <w:szCs w:val="21"/>
        </w:rPr>
        <w:t xml:space="preserve">Data retention </w:t>
      </w:r>
      <w:r>
        <w:rPr>
          <w:color w:val="222222"/>
          <w:sz w:val="21"/>
          <w:szCs w:val="21"/>
        </w:rPr>
        <w:t xml:space="preserve">— define and document a retention/deletion schedule per client contract (currently manual clean-up only).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222222"/>
          <w:sz w:val="21"/>
          <w:szCs w:val="21"/>
        </w:rPr>
        <w:t xml:space="preserve">Independent assurance </w:t>
      </w:r>
      <w:r>
        <w:rPr>
          <w:color w:val="222222"/>
          <w:sz w:val="21"/>
          <w:szCs w:val="21"/>
        </w:rPr>
        <w:t xml:space="preserve">— no third-party certification (SOC 2 / ISO 27001) yet; on the roadmap. Encryption at rest and TLS are provided by the hosting platform.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6"/>
          <w:szCs w:val="26"/>
        </w:rPr>
        <w:t xml:space="preserve">4. Review cadence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assessment is reviewed on material change to the AI pipeline, the provider configuration, or the data types processed, and at minimum annually.</w:t>
      </w:r>
    </w:p>
    <w:p>
      <w:pPr>
        <w:pBdr>
          <w:top w:val="single" w:color="CCCCCC" w:sz="8" w:space="8"/>
        </w:pBdr>
        <w:spacing w:before="300"/>
      </w:pPr>
      <w:r>
        <w:rPr>
          <w:i/>
          <w:iCs/>
          <w:color w:val="555555"/>
          <w:sz w:val="18"/>
          <w:szCs w:val="18"/>
        </w:rPr>
        <w:t xml:space="preserve">This document describes the product's design and operating practices for due-diligence. It is not a contractual warranty; specific commitments are governed by the applicable service agreement.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2026-07-23T04:01:21.551Z</dcterms:created>
  <dcterms:modified xsi:type="dcterms:W3CDTF">2026-07-23T04:01:21.551Z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