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05 — SQL Business Analysis Report</w:t>
      </w:r>
    </w:p>
    <w:p>
      <w:r>
        <w:t>Supply Chain &amp; Sales Analysis | PostgreSQL / pgAdmin | DataCo Smart Supply Chain</w:t>
      </w:r>
    </w:p>
    <w:p>
      <w:pPr>
        <w:pStyle w:val="Heading1"/>
      </w:pPr>
      <w:r>
        <w:t>1. SQL Analytical Role</w:t>
      </w:r>
    </w:p>
    <w:p>
      <w:r>
        <w:t>SQL was used as the structured business-analysis layer of the project. The analysis covers 30 business questions across KPIs, customers, products, markets, delivery, order status and advanced SQL patterns.</w:t>
      </w:r>
    </w:p>
    <w:p>
      <w:r>
        <w:t>Database: dataco_supply_chain | Table: dataco_raw | Platform: PostgreSQL / pgAdmin</w:t>
      </w:r>
    </w:p>
    <w:p>
      <w:pPr>
        <w:pStyle w:val="Heading1"/>
      </w:pPr>
      <w:r>
        <w:t>2. Core KPI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Business Use</w:t>
            </w:r>
          </w:p>
        </w:tc>
      </w:tr>
      <w:tr>
        <w:tc>
          <w:tcPr>
            <w:tcW w:type="dxa" w:w="2880"/>
          </w:tcPr>
          <w:p>
            <w:r>
              <w:t>Total Sales</w:t>
            </w:r>
          </w:p>
        </w:tc>
        <w:tc>
          <w:tcPr>
            <w:tcW w:type="dxa" w:w="2880"/>
          </w:tcPr>
          <w:p>
            <w:r>
              <w:t>36.45M</w:t>
            </w:r>
          </w:p>
        </w:tc>
        <w:tc>
          <w:tcPr>
            <w:tcW w:type="dxa" w:w="2880"/>
          </w:tcPr>
          <w:p>
            <w:r>
              <w:t>Revenue baseline</w:t>
            </w:r>
          </w:p>
        </w:tc>
      </w:tr>
      <w:tr>
        <w:tc>
          <w:tcPr>
            <w:tcW w:type="dxa" w:w="2880"/>
          </w:tcPr>
          <w:p>
            <w:r>
              <w:t>Total Profit</w:t>
            </w:r>
          </w:p>
        </w:tc>
        <w:tc>
          <w:tcPr>
            <w:tcW w:type="dxa" w:w="2880"/>
          </w:tcPr>
          <w:p>
            <w:r>
              <w:t>3.93M</w:t>
            </w:r>
          </w:p>
        </w:tc>
        <w:tc>
          <w:tcPr>
            <w:tcW w:type="dxa" w:w="2880"/>
          </w:tcPr>
          <w:p>
            <w:r>
              <w:t>Profit baseline</w:t>
            </w:r>
          </w:p>
        </w:tc>
      </w:tr>
      <w:tr>
        <w:tc>
          <w:tcPr>
            <w:tcW w:type="dxa" w:w="2880"/>
          </w:tcPr>
          <w:p>
            <w:r>
              <w:t>Total Orders</w:t>
            </w:r>
          </w:p>
        </w:tc>
        <w:tc>
          <w:tcPr>
            <w:tcW w:type="dxa" w:w="2880"/>
          </w:tcPr>
          <w:p>
            <w:r>
              <w:t>63.62K</w:t>
            </w:r>
          </w:p>
        </w:tc>
        <w:tc>
          <w:tcPr>
            <w:tcW w:type="dxa" w:w="2880"/>
          </w:tcPr>
          <w:p>
            <w:r>
              <w:t>Order volume</w:t>
            </w:r>
          </w:p>
        </w:tc>
      </w:tr>
      <w:tr>
        <w:tc>
          <w:tcPr>
            <w:tcW w:type="dxa" w:w="2880"/>
          </w:tcPr>
          <w:p>
            <w:r>
              <w:t>Total Customers</w:t>
            </w:r>
          </w:p>
        </w:tc>
        <w:tc>
          <w:tcPr>
            <w:tcW w:type="dxa" w:w="2880"/>
          </w:tcPr>
          <w:p>
            <w:r>
              <w:t>18.52K</w:t>
            </w:r>
          </w:p>
        </w:tc>
        <w:tc>
          <w:tcPr>
            <w:tcW w:type="dxa" w:w="2880"/>
          </w:tcPr>
          <w:p>
            <w:r>
              <w:t>Customer base</w:t>
            </w:r>
          </w:p>
        </w:tc>
      </w:tr>
      <w:tr>
        <w:tc>
          <w:tcPr>
            <w:tcW w:type="dxa" w:w="2880"/>
          </w:tcPr>
          <w:p>
            <w:r>
              <w:t>Average Order Value</w:t>
            </w:r>
          </w:p>
        </w:tc>
        <w:tc>
          <w:tcPr>
            <w:tcW w:type="dxa" w:w="2880"/>
          </w:tcPr>
          <w:p>
            <w:r>
              <w:t>572.90</w:t>
            </w:r>
          </w:p>
        </w:tc>
        <w:tc>
          <w:tcPr>
            <w:tcW w:type="dxa" w:w="2880"/>
          </w:tcPr>
          <w:p>
            <w:r>
              <w:t>Value per order</w:t>
            </w:r>
          </w:p>
        </w:tc>
      </w:tr>
      <w:tr>
        <w:tc>
          <w:tcPr>
            <w:tcW w:type="dxa" w:w="2880"/>
          </w:tcPr>
          <w:p>
            <w:r>
              <w:t>Profit Margin</w:t>
            </w:r>
          </w:p>
        </w:tc>
        <w:tc>
          <w:tcPr>
            <w:tcW w:type="dxa" w:w="2880"/>
          </w:tcPr>
          <w:p>
            <w:r>
              <w:t>10.79%</w:t>
            </w:r>
          </w:p>
        </w:tc>
        <w:tc>
          <w:tcPr>
            <w:tcW w:type="dxa" w:w="2880"/>
          </w:tcPr>
          <w:p>
            <w:r>
              <w:t>Profitability relative to Sales</w:t>
            </w:r>
          </w:p>
        </w:tc>
      </w:tr>
      <w:tr>
        <w:tc>
          <w:tcPr>
            <w:tcW w:type="dxa" w:w="2880"/>
          </w:tcPr>
          <w:p>
            <w:r>
              <w:t>Late Delivery</w:t>
            </w:r>
          </w:p>
        </w:tc>
        <w:tc>
          <w:tcPr>
            <w:tcW w:type="dxa" w:w="2880"/>
          </w:tcPr>
          <w:p>
            <w:r>
              <w:t>54.81%</w:t>
            </w:r>
          </w:p>
        </w:tc>
        <w:tc>
          <w:tcPr>
            <w:tcW w:type="dxa" w:w="2880"/>
          </w:tcPr>
          <w:p>
            <w:r>
              <w:t>Operational delivery signal</w:t>
            </w:r>
          </w:p>
        </w:tc>
      </w:tr>
    </w:tbl>
    <w:p>
      <w:r>
        <w:t>The source SQL establishes these KPIs through SUM, COUNT(DISTINCT), AOV and Profit Margin calculations, with Late Delivery calculated from the Late_delivery_risk field. fileciteturn41file1</w:t>
      </w:r>
    </w:p>
    <w:p>
      <w:pPr>
        <w:pStyle w:val="Heading1"/>
      </w:pPr>
      <w:r>
        <w:t>3. Customer Segment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Segment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Margin</w:t>
            </w:r>
          </w:p>
        </w:tc>
      </w:tr>
      <w:tr>
        <w:tc>
          <w:tcPr>
            <w:tcW w:type="dxa" w:w="2160"/>
          </w:tcPr>
          <w:p>
            <w:r>
              <w:t>Consumer</w:t>
            </w:r>
          </w:p>
        </w:tc>
        <w:tc>
          <w:tcPr>
            <w:tcW w:type="dxa" w:w="2160"/>
          </w:tcPr>
          <w:p>
            <w:r>
              <w:t>18.93M</w:t>
            </w:r>
          </w:p>
        </w:tc>
        <w:tc>
          <w:tcPr>
            <w:tcW w:type="dxa" w:w="2160"/>
          </w:tcPr>
          <w:p>
            <w:r>
              <w:t>2.06M</w:t>
            </w:r>
          </w:p>
        </w:tc>
        <w:tc>
          <w:tcPr>
            <w:tcW w:type="dxa" w:w="2160"/>
          </w:tcPr>
          <w:p>
            <w:r>
              <w:t>10.89%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11.06M</w:t>
            </w:r>
          </w:p>
        </w:tc>
        <w:tc>
          <w:tcPr>
            <w:tcW w:type="dxa" w:w="2160"/>
          </w:tcPr>
          <w:p>
            <w:r>
              <w:t>1.19M</w:t>
            </w:r>
          </w:p>
        </w:tc>
        <w:tc>
          <w:tcPr>
            <w:tcW w:type="dxa" w:w="2160"/>
          </w:tcPr>
          <w:p>
            <w:r>
              <w:t>10.76%</w:t>
            </w:r>
          </w:p>
        </w:tc>
      </w:tr>
      <w:tr>
        <w:tc>
          <w:tcPr>
            <w:tcW w:type="dxa" w:w="2160"/>
          </w:tcPr>
          <w:p>
            <w:r>
              <w:t>Home Office</w:t>
            </w:r>
          </w:p>
        </w:tc>
        <w:tc>
          <w:tcPr>
            <w:tcW w:type="dxa" w:w="2160"/>
          </w:tcPr>
          <w:p>
            <w:r>
              <w:t>6.46M</w:t>
            </w:r>
          </w:p>
        </w:tc>
        <w:tc>
          <w:tcPr>
            <w:tcW w:type="dxa" w:w="2160"/>
          </w:tcPr>
          <w:p>
            <w:r>
              <w:t>0.68M</w:t>
            </w:r>
          </w:p>
        </w:tc>
        <w:tc>
          <w:tcPr>
            <w:tcW w:type="dxa" w:w="2160"/>
          </w:tcPr>
          <w:p>
            <w:r>
              <w:t>10.55%</w:t>
            </w:r>
          </w:p>
        </w:tc>
      </w:tr>
    </w:tbl>
    <w:p>
      <w:r>
        <w:t>Finding: Consumer is the largest segment by Sales and Profit. Segment margins remain relatively close, so the major difference is business volume rather than a large margin gap.</w:t>
      </w:r>
    </w:p>
    <w:p>
      <w:pPr>
        <w:pStyle w:val="Heading1"/>
      </w:pPr>
      <w:r>
        <w:t>4. Market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Profit</w:t>
            </w:r>
          </w:p>
        </w:tc>
        <w:tc>
          <w:tcPr>
            <w:tcW w:type="dxa" w:w="1728"/>
          </w:tcPr>
          <w:p>
            <w:r>
              <w:t>Margin</w:t>
            </w:r>
          </w:p>
        </w:tc>
        <w:tc>
          <w:tcPr>
            <w:tcW w:type="dxa" w:w="1728"/>
          </w:tcPr>
          <w:p>
            <w:r>
              <w:t>AOV</w:t>
            </w:r>
          </w:p>
        </w:tc>
      </w:tr>
      <w:tr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10.87M</w:t>
            </w:r>
          </w:p>
        </w:tc>
        <w:tc>
          <w:tcPr>
            <w:tcW w:type="dxa" w:w="1728"/>
          </w:tcPr>
          <w:p>
            <w:r>
              <w:t>1.17M</w:t>
            </w:r>
          </w:p>
        </w:tc>
        <w:tc>
          <w:tcPr>
            <w:tcW w:type="dxa" w:w="1728"/>
          </w:tcPr>
          <w:p>
            <w:r>
              <w:t>10.76%</w:t>
            </w:r>
          </w:p>
        </w:tc>
        <w:tc>
          <w:tcPr>
            <w:tcW w:type="dxa" w:w="1728"/>
          </w:tcPr>
          <w:p>
            <w:r>
              <w:t>585.77</w:t>
            </w:r>
          </w:p>
        </w:tc>
      </w:tr>
      <w:tr>
        <w:tc>
          <w:tcPr>
            <w:tcW w:type="dxa" w:w="1728"/>
          </w:tcPr>
          <w:p>
            <w:r>
              <w:t>LATAM</w:t>
            </w:r>
          </w:p>
        </w:tc>
        <w:tc>
          <w:tcPr>
            <w:tcW w:type="dxa" w:w="1728"/>
          </w:tcPr>
          <w:p>
            <w:r>
              <w:t>10.28M</w:t>
            </w:r>
          </w:p>
        </w:tc>
        <w:tc>
          <w:tcPr>
            <w:tcW w:type="dxa" w:w="1728"/>
          </w:tcPr>
          <w:p>
            <w:r>
              <w:t>1.12M</w:t>
            </w:r>
          </w:p>
        </w:tc>
        <w:tc>
          <w:tcPr>
            <w:tcW w:type="dxa" w:w="1728"/>
          </w:tcPr>
          <w:p>
            <w:r>
              <w:t>10.93%</w:t>
            </w:r>
          </w:p>
        </w:tc>
        <w:tc>
          <w:tcPr>
            <w:tcW w:type="dxa" w:w="1728"/>
          </w:tcPr>
          <w:p>
            <w:r>
              <w:t>598.20</w:t>
            </w:r>
          </w:p>
        </w:tc>
      </w:tr>
      <w:tr>
        <w:tc>
          <w:tcPr>
            <w:tcW w:type="dxa" w:w="1728"/>
          </w:tcPr>
          <w:p>
            <w:r>
              <w:t>Pacific Asia</w:t>
            </w:r>
          </w:p>
        </w:tc>
        <w:tc>
          <w:tcPr>
            <w:tcW w:type="dxa" w:w="1728"/>
          </w:tcPr>
          <w:p>
            <w:r>
              <w:t>7.94M</w:t>
            </w:r>
          </w:p>
        </w:tc>
        <w:tc>
          <w:tcPr>
            <w:tcW w:type="dxa" w:w="1728"/>
          </w:tcPr>
          <w:p>
            <w:r>
              <w:t>0.82M</w:t>
            </w:r>
          </w:p>
        </w:tc>
        <w:tc>
          <w:tcPr>
            <w:tcW w:type="dxa" w:w="1728"/>
          </w:tcPr>
          <w:p>
            <w:r>
              <w:t>10.37%</w:t>
            </w:r>
          </w:p>
        </w:tc>
        <w:tc>
          <w:tcPr>
            <w:tcW w:type="dxa" w:w="1728"/>
          </w:tcPr>
          <w:p>
            <w:r>
              <w:t>513.92</w:t>
            </w:r>
          </w:p>
        </w:tc>
      </w:tr>
      <w:tr>
        <w:tc>
          <w:tcPr>
            <w:tcW w:type="dxa" w:w="1728"/>
          </w:tcPr>
          <w:p>
            <w:r>
              <w:t>USCA</w:t>
            </w:r>
          </w:p>
        </w:tc>
        <w:tc>
          <w:tcPr>
            <w:tcW w:type="dxa" w:w="1728"/>
          </w:tcPr>
          <w:p>
            <w:r>
              <w:t>5.07M</w:t>
            </w:r>
          </w:p>
        </w:tc>
        <w:tc>
          <w:tcPr>
            <w:tcW w:type="dxa" w:w="1728"/>
          </w:tcPr>
          <w:p>
            <w:r>
              <w:t>0.56M</w:t>
            </w:r>
          </w:p>
        </w:tc>
        <w:tc>
          <w:tcPr>
            <w:tcW w:type="dxa" w:w="1728"/>
          </w:tcPr>
          <w:p>
            <w:r>
              <w:t>11.14%</w:t>
            </w:r>
          </w:p>
        </w:tc>
        <w:tc>
          <w:tcPr>
            <w:tcW w:type="dxa" w:w="1728"/>
          </w:tcPr>
          <w:p>
            <w:r>
              <w:t>590.57</w:t>
            </w:r>
          </w:p>
        </w:tc>
      </w:tr>
      <w:tr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2.29M</w:t>
            </w:r>
          </w:p>
        </w:tc>
        <w:tc>
          <w:tcPr>
            <w:tcW w:type="dxa" w:w="1728"/>
          </w:tcPr>
          <w:p>
            <w:r>
              <w:t>0.25M</w:t>
            </w:r>
          </w:p>
        </w:tc>
        <w:tc>
          <w:tcPr>
            <w:tcW w:type="dxa" w:w="1728"/>
          </w:tcPr>
          <w:p>
            <w:r>
              <w:t>10.99%</w:t>
            </w:r>
          </w:p>
        </w:tc>
        <w:tc>
          <w:tcPr>
            <w:tcW w:type="dxa" w:w="1728"/>
          </w:tcPr>
          <w:p>
            <w:r>
              <w:t>595.34</w:t>
            </w:r>
          </w:p>
        </w:tc>
      </w:tr>
    </w:tbl>
    <w:p>
      <w:r>
        <w:t>Finding: Europe and LATAM contribute the largest Sales and Profit volumes. Market margins remain within a relatively narrow range around 10–11%.</w:t>
      </w:r>
    </w:p>
    <w:p>
      <w:pPr>
        <w:pStyle w:val="Heading1"/>
      </w:pPr>
      <w:r>
        <w:t>5. Category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Profit</w:t>
            </w:r>
          </w:p>
        </w:tc>
      </w:tr>
      <w:tr>
        <w:tc>
          <w:tcPr>
            <w:tcW w:type="dxa" w:w="2880"/>
          </w:tcPr>
          <w:p>
            <w:r>
              <w:t>Fishing</w:t>
            </w:r>
          </w:p>
        </w:tc>
        <w:tc>
          <w:tcPr>
            <w:tcW w:type="dxa" w:w="2880"/>
          </w:tcPr>
          <w:p>
            <w:r>
              <w:t>6.93M</w:t>
            </w:r>
          </w:p>
        </w:tc>
        <w:tc>
          <w:tcPr>
            <w:tcW w:type="dxa" w:w="2880"/>
          </w:tcPr>
          <w:p>
            <w:r>
              <w:t>0.76M</w:t>
            </w:r>
          </w:p>
        </w:tc>
      </w:tr>
      <w:tr>
        <w:tc>
          <w:tcPr>
            <w:tcW w:type="dxa" w:w="2880"/>
          </w:tcPr>
          <w:p>
            <w:r>
              <w:t>Cleats</w:t>
            </w:r>
          </w:p>
        </w:tc>
        <w:tc>
          <w:tcPr>
            <w:tcW w:type="dxa" w:w="2880"/>
          </w:tcPr>
          <w:p>
            <w:r>
              <w:t>4.43M</w:t>
            </w:r>
          </w:p>
        </w:tc>
        <w:tc>
          <w:tcPr>
            <w:tcW w:type="dxa" w:w="2880"/>
          </w:tcPr>
          <w:p>
            <w:r>
              <w:t>0.49M</w:t>
            </w:r>
          </w:p>
        </w:tc>
      </w:tr>
      <w:tr>
        <w:tc>
          <w:tcPr>
            <w:tcW w:type="dxa" w:w="2880"/>
          </w:tcPr>
          <w:p>
            <w:r>
              <w:t>Camping &amp; Hiking</w:t>
            </w:r>
          </w:p>
        </w:tc>
        <w:tc>
          <w:tcPr>
            <w:tcW w:type="dxa" w:w="2880"/>
          </w:tcPr>
          <w:p>
            <w:r>
              <w:t>4.12M</w:t>
            </w:r>
          </w:p>
        </w:tc>
        <w:tc>
          <w:tcPr>
            <w:tcW w:type="dxa" w:w="2880"/>
          </w:tcPr>
          <w:p>
            <w:r>
              <w:t>0.43M</w:t>
            </w:r>
          </w:p>
        </w:tc>
      </w:tr>
      <w:tr>
        <w:tc>
          <w:tcPr>
            <w:tcW w:type="dxa" w:w="2880"/>
          </w:tcPr>
          <w:p>
            <w:r>
              <w:t>Cardio Equipment</w:t>
            </w:r>
          </w:p>
        </w:tc>
        <w:tc>
          <w:tcPr>
            <w:tcW w:type="dxa" w:w="2880"/>
          </w:tcPr>
          <w:p>
            <w:r>
              <w:t>3.69M</w:t>
            </w:r>
          </w:p>
        </w:tc>
        <w:tc>
          <w:tcPr>
            <w:tcW w:type="dxa" w:w="2880"/>
          </w:tcPr>
          <w:p>
            <w:r>
              <w:t>0.38M</w:t>
            </w:r>
          </w:p>
        </w:tc>
      </w:tr>
      <w:tr>
        <w:tc>
          <w:tcPr>
            <w:tcW w:type="dxa" w:w="2880"/>
          </w:tcPr>
          <w:p>
            <w:r>
              <w:t>Women's Apparel</w:t>
            </w:r>
          </w:p>
        </w:tc>
        <w:tc>
          <w:tcPr>
            <w:tcW w:type="dxa" w:w="2880"/>
          </w:tcPr>
          <w:p>
            <w:r>
              <w:t>3.15M</w:t>
            </w:r>
          </w:p>
        </w:tc>
        <w:tc>
          <w:tcPr>
            <w:tcW w:type="dxa" w:w="2880"/>
          </w:tcPr>
          <w:p>
            <w:r>
              <w:t>0.35M</w:t>
            </w:r>
          </w:p>
        </w:tc>
      </w:tr>
    </w:tbl>
    <w:p>
      <w:r>
        <w:t>The top five categories represent approximately 22.3M Sales and 2.41M Profit.</w:t>
      </w:r>
    </w:p>
    <w:p>
      <w:pPr>
        <w:pStyle w:val="Heading1"/>
      </w:pPr>
      <w:r>
        <w:t>6. Product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Profit</w:t>
            </w:r>
          </w:p>
        </w:tc>
      </w:tr>
      <w:tr>
        <w:tc>
          <w:tcPr>
            <w:tcW w:type="dxa" w:w="2880"/>
          </w:tcPr>
          <w:p>
            <w:r>
              <w:t>Field &amp; Stream Sportsman 16 Gun Fire Safe</w:t>
            </w:r>
          </w:p>
        </w:tc>
        <w:tc>
          <w:tcPr>
            <w:tcW w:type="dxa" w:w="2880"/>
          </w:tcPr>
          <w:p>
            <w:r>
              <w:t>6.93M</w:t>
            </w:r>
          </w:p>
        </w:tc>
        <w:tc>
          <w:tcPr>
            <w:tcW w:type="dxa" w:w="2880"/>
          </w:tcPr>
          <w:p>
            <w:r>
              <w:t>0.76M</w:t>
            </w:r>
          </w:p>
        </w:tc>
      </w:tr>
      <w:tr>
        <w:tc>
          <w:tcPr>
            <w:tcW w:type="dxa" w:w="2880"/>
          </w:tcPr>
          <w:p>
            <w:r>
              <w:t>Perfect Fitness Perfect Rip Deck</w:t>
            </w:r>
          </w:p>
        </w:tc>
        <w:tc>
          <w:tcPr>
            <w:tcW w:type="dxa" w:w="2880"/>
          </w:tcPr>
          <w:p>
            <w:r>
              <w:t>4.42M</w:t>
            </w:r>
          </w:p>
        </w:tc>
        <w:tc>
          <w:tcPr>
            <w:tcW w:type="dxa" w:w="2880"/>
          </w:tcPr>
          <w:p>
            <w:r>
              <w:t>0.49M</w:t>
            </w:r>
          </w:p>
        </w:tc>
      </w:tr>
      <w:tr>
        <w:tc>
          <w:tcPr>
            <w:tcW w:type="dxa" w:w="2880"/>
          </w:tcPr>
          <w:p>
            <w:r>
              <w:t>Diamondback Women's Serene Classic</w:t>
            </w:r>
          </w:p>
        </w:tc>
        <w:tc>
          <w:tcPr>
            <w:tcW w:type="dxa" w:w="2880"/>
          </w:tcPr>
          <w:p>
            <w:r>
              <w:t>4.12M</w:t>
            </w:r>
          </w:p>
        </w:tc>
        <w:tc>
          <w:tcPr>
            <w:tcW w:type="dxa" w:w="2880"/>
          </w:tcPr>
          <w:p>
            <w:r>
              <w:t>0.43M</w:t>
            </w:r>
          </w:p>
        </w:tc>
      </w:tr>
      <w:tr>
        <w:tc>
          <w:tcPr>
            <w:tcW w:type="dxa" w:w="2880"/>
          </w:tcPr>
          <w:p>
            <w:r>
              <w:t>Nike Men's Free 5.0+</w:t>
            </w:r>
          </w:p>
        </w:tc>
        <w:tc>
          <w:tcPr>
            <w:tcW w:type="dxa" w:w="2880"/>
          </w:tcPr>
          <w:p>
            <w:r>
              <w:t>3.67M</w:t>
            </w:r>
          </w:p>
        </w:tc>
        <w:tc>
          <w:tcPr>
            <w:tcW w:type="dxa" w:w="2880"/>
          </w:tcPr>
          <w:p>
            <w:r>
              <w:t>0.38M</w:t>
            </w:r>
          </w:p>
        </w:tc>
      </w:tr>
      <w:tr>
        <w:tc>
          <w:tcPr>
            <w:tcW w:type="dxa" w:w="2880"/>
          </w:tcPr>
          <w:p>
            <w:r>
              <w:t>Nike Men's Dri-FIT Victory Golf Polo</w:t>
            </w:r>
          </w:p>
        </w:tc>
        <w:tc>
          <w:tcPr>
            <w:tcW w:type="dxa" w:w="2880"/>
          </w:tcPr>
          <w:p>
            <w:r>
              <w:t>3.15M</w:t>
            </w:r>
          </w:p>
        </w:tc>
        <w:tc>
          <w:tcPr>
            <w:tcW w:type="dxa" w:w="2880"/>
          </w:tcPr>
          <w:p>
            <w:r>
              <w:t>0.35M</w:t>
            </w:r>
          </w:p>
        </w:tc>
      </w:tr>
    </w:tbl>
    <w:p>
      <w:r>
        <w:t>The source contains separate Top 10 by Sales, Top 10 by Profit and Bottom 10 by Profit analyses. fileciteturn41file2</w:t>
      </w:r>
    </w:p>
    <w:p>
      <w:pPr>
        <w:pStyle w:val="Heading1"/>
      </w:pPr>
      <w:r>
        <w:t>7. Year-over-Year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KPI</w:t>
            </w:r>
          </w:p>
        </w:tc>
        <w:tc>
          <w:tcPr>
            <w:tcW w:type="dxa" w:w="1080"/>
          </w:tcPr>
          <w:p>
            <w:r>
              <w:t>2015</w:t>
            </w:r>
          </w:p>
        </w:tc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2017</w:t>
            </w:r>
          </w:p>
        </w:tc>
        <w:tc>
          <w:tcPr>
            <w:tcW w:type="dxa" w:w="1080"/>
          </w:tcPr>
          <w:p>
            <w:r>
              <w:t>2017 vs 2016</w:t>
            </w:r>
          </w:p>
        </w:tc>
        <w:tc>
          <w:tcPr>
            <w:tcW w:type="dxa" w:w="1080"/>
          </w:tcPr>
          <w:p>
            <w:r>
              <w:t>2017 Story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12.34M</w:t>
            </w:r>
          </w:p>
        </w:tc>
        <w:tc>
          <w:tcPr>
            <w:tcW w:type="dxa" w:w="1080"/>
          </w:tcPr>
          <w:p>
            <w:r>
              <w:t>12.30M</w:t>
            </w:r>
          </w:p>
        </w:tc>
        <w:tc>
          <w:tcPr>
            <w:tcW w:type="dxa" w:w="1080"/>
          </w:tcPr>
          <w:p>
            <w:r>
              <w:t>11.81M</w:t>
            </w:r>
          </w:p>
        </w:tc>
        <w:tc>
          <w:tcPr>
            <w:tcW w:type="dxa" w:w="1080"/>
          </w:tcPr>
          <w:p>
            <w:r>
              <w:t>-0.49M</w:t>
            </w:r>
          </w:p>
        </w:tc>
        <w:tc>
          <w:tcPr>
            <w:tcW w:type="dxa" w:w="1080"/>
          </w:tcPr>
          <w:p>
            <w:r>
              <w:t>Sales declined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Profit</w:t>
            </w:r>
          </w:p>
        </w:tc>
        <w:tc>
          <w:tcPr>
            <w:tcW w:type="dxa" w:w="1080"/>
          </w:tcPr>
          <w:p>
            <w:r>
              <w:t>1.32M</w:t>
            </w:r>
          </w:p>
        </w:tc>
        <w:tc>
          <w:tcPr>
            <w:tcW w:type="dxa" w:w="1080"/>
          </w:tcPr>
          <w:p>
            <w:r>
              <w:t>1.31M</w:t>
            </w:r>
          </w:p>
        </w:tc>
        <w:tc>
          <w:tcPr>
            <w:tcW w:type="dxa" w:w="1080"/>
          </w:tcPr>
          <w:p>
            <w:r>
              <w:t>1.30M</w:t>
            </w:r>
          </w:p>
        </w:tc>
        <w:tc>
          <w:tcPr>
            <w:tcW w:type="dxa" w:w="1080"/>
          </w:tcPr>
          <w:p>
            <w:r>
              <w:t>~stable</w:t>
            </w:r>
          </w:p>
        </w:tc>
        <w:tc>
          <w:tcPr>
            <w:tcW w:type="dxa" w:w="1080"/>
          </w:tcPr>
          <w:p>
            <w:r>
              <w:t>Profit broadly stable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Orders</w:t>
            </w:r>
          </w:p>
        </w:tc>
        <w:tc>
          <w:tcPr>
            <w:tcW w:type="dxa" w:w="1080"/>
          </w:tcPr>
          <w:p>
            <w:r>
              <w:t>20,904</w:t>
            </w:r>
          </w:p>
        </w:tc>
        <w:tc>
          <w:tcPr>
            <w:tcW w:type="dxa" w:w="1080"/>
          </w:tcPr>
          <w:p>
            <w:r>
              <w:t>20,859</w:t>
            </w:r>
          </w:p>
        </w:tc>
        <w:tc>
          <w:tcPr>
            <w:tcW w:type="dxa" w:w="1080"/>
          </w:tcPr>
          <w:p>
            <w:r>
              <w:t>21,866</w:t>
            </w:r>
          </w:p>
        </w:tc>
        <w:tc>
          <w:tcPr>
            <w:tcW w:type="dxa" w:w="1080"/>
          </w:tcPr>
          <w:p>
            <w:r>
              <w:t>+1,007</w:t>
            </w:r>
          </w:p>
        </w:tc>
        <w:tc>
          <w:tcPr>
            <w:tcW w:type="dxa" w:w="1080"/>
          </w:tcPr>
          <w:p>
            <w:r>
              <w:t>Order volume increased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Customers</w:t>
            </w:r>
          </w:p>
        </w:tc>
        <w:tc>
          <w:tcPr>
            <w:tcW w:type="dxa" w:w="1080"/>
          </w:tcPr>
          <w:p>
            <w:r>
              <w:t>10,131</w:t>
            </w:r>
          </w:p>
        </w:tc>
        <w:tc>
          <w:tcPr>
            <w:tcW w:type="dxa" w:w="1080"/>
          </w:tcPr>
          <w:p>
            <w:r>
              <w:t>10,222</w:t>
            </w:r>
          </w:p>
        </w:tc>
        <w:tc>
          <w:tcPr>
            <w:tcW w:type="dxa" w:w="1080"/>
          </w:tcPr>
          <w:p>
            <w:r>
              <w:t>15,156</w:t>
            </w:r>
          </w:p>
        </w:tc>
        <w:tc>
          <w:tcPr>
            <w:tcW w:type="dxa" w:w="1080"/>
          </w:tcPr>
          <w:p>
            <w:r>
              <w:t>+4,934</w:t>
            </w:r>
          </w:p>
        </w:tc>
        <w:tc>
          <w:tcPr>
            <w:tcW w:type="dxa" w:w="1080"/>
          </w:tcPr>
          <w:p>
            <w:r>
              <w:t>Customer base expanded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AOV</w:t>
            </w:r>
          </w:p>
        </w:tc>
        <w:tc>
          <w:tcPr>
            <w:tcW w:type="dxa" w:w="1080"/>
          </w:tcPr>
          <w:p>
            <w:r>
              <w:t>590.36</w:t>
            </w:r>
          </w:p>
        </w:tc>
        <w:tc>
          <w:tcPr>
            <w:tcW w:type="dxa" w:w="1080"/>
          </w:tcPr>
          <w:p>
            <w:r>
              <w:t>589.86</w:t>
            </w:r>
          </w:p>
        </w:tc>
        <w:tc>
          <w:tcPr>
            <w:tcW w:type="dxa" w:w="1080"/>
          </w:tcPr>
          <w:p>
            <w:r>
              <w:t>540.04</w:t>
            </w:r>
          </w:p>
        </w:tc>
        <w:tc>
          <w:tcPr>
            <w:tcW w:type="dxa" w:w="1080"/>
          </w:tcPr>
          <w:p>
            <w:r>
              <w:t>-49.82</w:t>
            </w:r>
          </w:p>
        </w:tc>
        <w:tc>
          <w:tcPr>
            <w:tcW w:type="dxa" w:w="1080"/>
          </w:tcPr>
          <w:p>
            <w:r>
              <w:t>Order value declined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Margin</w:t>
            </w:r>
          </w:p>
        </w:tc>
        <w:tc>
          <w:tcPr>
            <w:tcW w:type="dxa" w:w="1080"/>
          </w:tcPr>
          <w:p>
            <w:r>
              <w:t>10.69%</w:t>
            </w:r>
          </w:p>
        </w:tc>
        <w:tc>
          <w:tcPr>
            <w:tcW w:type="dxa" w:w="1080"/>
          </w:tcPr>
          <w:p>
            <w:r>
              <w:t>10.65%</w:t>
            </w:r>
          </w:p>
        </w:tc>
        <w:tc>
          <w:tcPr>
            <w:tcW w:type="dxa" w:w="1080"/>
          </w:tcPr>
          <w:p>
            <w:r>
              <w:t>11.04%</w:t>
            </w:r>
          </w:p>
        </w:tc>
        <w:tc>
          <w:tcPr>
            <w:tcW w:type="dxa" w:w="1080"/>
          </w:tcPr>
          <w:p>
            <w:r>
              <w:t>+0.39 pp</w:t>
            </w:r>
          </w:p>
        </w:tc>
        <w:tc>
          <w:tcPr>
            <w:tcW w:type="dxa" w:w="1080"/>
          </w:tcPr>
          <w:p>
            <w:r>
              <w:t>Margin improved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Late Delivery</w:t>
            </w:r>
          </w:p>
        </w:tc>
        <w:tc>
          <w:tcPr>
            <w:tcW w:type="dxa" w:w="1080"/>
          </w:tcPr>
          <w:p>
            <w:r>
              <w:t>54.68%</w:t>
            </w:r>
          </w:p>
        </w:tc>
        <w:tc>
          <w:tcPr>
            <w:tcW w:type="dxa" w:w="1080"/>
          </w:tcPr>
          <w:p>
            <w:r>
              <w:t>55.12%</w:t>
            </w:r>
          </w:p>
        </w:tc>
        <w:tc>
          <w:tcPr>
            <w:tcW w:type="dxa" w:w="1080"/>
          </w:tcPr>
          <w:p>
            <w:r>
              <w:t>54.54%</w:t>
            </w:r>
          </w:p>
        </w:tc>
        <w:tc>
          <w:tcPr>
            <w:tcW w:type="dxa" w:w="1080"/>
          </w:tcPr>
          <w:p>
            <w:r>
              <w:t>~stable</w:t>
            </w:r>
          </w:p>
        </w:tc>
        <w:tc>
          <w:tcPr>
            <w:tcW w:type="dxa" w:w="1080"/>
          </w:tcPr>
          <w:p>
            <w:r>
              <w:t>Persistent issue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Finding: 2017 added customers and orders, but AOV fell materially. The combination resulted in lower Sales while Profit remained approximately stable and margin improved.</w:t>
      </w:r>
    </w:p>
    <w:p>
      <w:pPr>
        <w:pStyle w:val="Heading1"/>
      </w:pPr>
      <w:r>
        <w:t>8. Sales Decline Diagnostic</w:t>
      </w:r>
    </w:p>
    <w:p>
      <w:r>
        <w:t>The SQL investigation moved from the overall trend into a Market → Customer Segment → Category → Product drill-down.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Sales Change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Major late-2017 decline</w:t>
            </w:r>
          </w:p>
        </w:tc>
        <w:tc>
          <w:tcPr>
            <w:tcW w:type="dxa" w:w="2880"/>
          </w:tcPr>
          <w:p>
            <w:r>
              <w:t>Market</w:t>
            </w:r>
          </w:p>
        </w:tc>
      </w:tr>
      <w:tr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Largest decline within Europe</w:t>
            </w:r>
          </w:p>
        </w:tc>
        <w:tc>
          <w:tcPr>
            <w:tcW w:type="dxa" w:w="2880"/>
          </w:tcPr>
          <w:p>
            <w:r>
              <w:t>Customer Segment</w:t>
            </w:r>
          </w:p>
        </w:tc>
      </w:tr>
      <w:tr>
        <w:tc>
          <w:tcPr>
            <w:tcW w:type="dxa" w:w="2880"/>
          </w:tcPr>
          <w:p>
            <w:r>
              <w:t>Computers</w:t>
            </w:r>
          </w:p>
        </w:tc>
        <w:tc>
          <w:tcPr>
            <w:tcW w:type="dxa" w:w="2880"/>
          </w:tcPr>
          <w:p>
            <w:r>
              <w:t>-0.27M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Cameras</w:t>
            </w:r>
          </w:p>
        </w:tc>
        <w:tc>
          <w:tcPr>
            <w:tcW w:type="dxa" w:w="2880"/>
          </w:tcPr>
          <w:p>
            <w:r>
              <w:t>-0.14M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Children's Clothing</w:t>
            </w:r>
          </w:p>
        </w:tc>
        <w:tc>
          <w:tcPr>
            <w:tcW w:type="dxa" w:w="2880"/>
          </w:tcPr>
          <w:p>
            <w:r>
              <w:t>-0.09M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Dell Laptop</w:t>
            </w:r>
          </w:p>
        </w:tc>
        <w:tc>
          <w:tcPr>
            <w:tcW w:type="dxa" w:w="2880"/>
          </w:tcPr>
          <w:p>
            <w:r>
              <w:t>-0.27M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</w:tr>
      <w:tr>
        <w:tc>
          <w:tcPr>
            <w:tcW w:type="dxa" w:w="2880"/>
          </w:tcPr>
          <w:p>
            <w:r>
              <w:t>Web Camera</w:t>
            </w:r>
          </w:p>
        </w:tc>
        <w:tc>
          <w:tcPr>
            <w:tcW w:type="dxa" w:w="2880"/>
          </w:tcPr>
          <w:p>
            <w:r>
              <w:t>-0.14M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</w:tr>
      <w:tr>
        <w:tc>
          <w:tcPr>
            <w:tcW w:type="dxa" w:w="2880"/>
          </w:tcPr>
          <w:p>
            <w:r>
              <w:t>Children's heaters</w:t>
            </w:r>
          </w:p>
        </w:tc>
        <w:tc>
          <w:tcPr>
            <w:tcW w:type="dxa" w:w="2880"/>
          </w:tcPr>
          <w:p>
            <w:r>
              <w:t>-0.09M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</w:tr>
    </w:tbl>
    <w:p>
      <w:r>
        <w:t>Partial offsets included Porcelain crafts +0.06M, Industrial consumer electronics +0.03M and DVDs +0.02M.</w:t>
      </w:r>
    </w:p>
    <w:p>
      <w:r>
        <w:t>Finding: The late-2017 decline was concentrated in specific market, segment, category and product combinations rather than being evenly distributed.</w:t>
      </w:r>
    </w:p>
    <w:p>
      <w:pPr>
        <w:pStyle w:val="Heading1"/>
      </w:pPr>
      <w:r>
        <w:t>9. Delivery Performance</w:t>
      </w:r>
    </w:p>
    <w:p>
      <w:r>
        <w:t>Overall Late Delivery: 54.81%. The SQL source calculates Late Delivery % from the Late_delivery_risk flag. fileciteturn41file3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Shipping Mode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Late Delivery</w:t>
            </w:r>
          </w:p>
        </w:tc>
      </w:tr>
      <w:tr>
        <w:tc>
          <w:tcPr>
            <w:tcW w:type="dxa" w:w="2880"/>
          </w:tcPr>
          <w:p>
            <w:r>
              <w:t>First Class</w:t>
            </w:r>
          </w:p>
        </w:tc>
        <w:tc>
          <w:tcPr>
            <w:tcW w:type="dxa" w:w="2880"/>
          </w:tcPr>
          <w:p>
            <w:r>
              <w:t>9,751</w:t>
            </w:r>
          </w:p>
        </w:tc>
        <w:tc>
          <w:tcPr>
            <w:tcW w:type="dxa" w:w="2880"/>
          </w:tcPr>
          <w:p>
            <w:r>
              <w:t>95.18%</w:t>
            </w:r>
          </w:p>
        </w:tc>
      </w:tr>
      <w:tr>
        <w:tc>
          <w:tcPr>
            <w:tcW w:type="dxa" w:w="2880"/>
          </w:tcPr>
          <w:p>
            <w:r>
              <w:t>Second Class</w:t>
            </w:r>
          </w:p>
        </w:tc>
        <w:tc>
          <w:tcPr>
            <w:tcW w:type="dxa" w:w="2880"/>
          </w:tcPr>
          <w:p>
            <w:r>
              <w:t>12,333</w:t>
            </w:r>
          </w:p>
        </w:tc>
        <w:tc>
          <w:tcPr>
            <w:tcW w:type="dxa" w:w="2880"/>
          </w:tcPr>
          <w:p>
            <w:r>
              <w:t>76.70%</w:t>
            </w:r>
          </w:p>
        </w:tc>
      </w:tr>
      <w:tr>
        <w:tc>
          <w:tcPr>
            <w:tcW w:type="dxa" w:w="2880"/>
          </w:tcPr>
          <w:p>
            <w:r>
              <w:t>Same Day</w:t>
            </w:r>
          </w:p>
        </w:tc>
        <w:tc>
          <w:tcPr>
            <w:tcW w:type="dxa" w:w="2880"/>
          </w:tcPr>
          <w:p>
            <w:r>
              <w:t>3,451</w:t>
            </w:r>
          </w:p>
        </w:tc>
        <w:tc>
          <w:tcPr>
            <w:tcW w:type="dxa" w:w="2880"/>
          </w:tcPr>
          <w:p>
            <w:r>
              <w:t>46.31%</w:t>
            </w:r>
          </w:p>
        </w:tc>
      </w:tr>
      <w:tr>
        <w:tc>
          <w:tcPr>
            <w:tcW w:type="dxa" w:w="2880"/>
          </w:tcPr>
          <w:p>
            <w:r>
              <w:t>Standard Class</w:t>
            </w:r>
          </w:p>
        </w:tc>
        <w:tc>
          <w:tcPr>
            <w:tcW w:type="dxa" w:w="2880"/>
          </w:tcPr>
          <w:p>
            <w:r>
              <w:t>38,094</w:t>
            </w:r>
          </w:p>
        </w:tc>
        <w:tc>
          <w:tcPr>
            <w:tcW w:type="dxa" w:w="2880"/>
          </w:tcPr>
          <w:p>
            <w:r>
              <w:t>38.10%</w:t>
            </w:r>
          </w:p>
        </w:tc>
      </w:tr>
    </w:tbl>
    <w:p>
      <w:r>
        <w:t>Finding: Shipping Mode shows a substantial difference in late-delivery performance. First Class and Second Class record the highest rates in the recorded analysis.</w:t>
      </w:r>
    </w:p>
    <w:p>
      <w:pPr>
        <w:pStyle w:val="Heading1"/>
      </w:pPr>
      <w:r>
        <w:t>10. Actual vs Scheduled Shipping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Shipping Mode</w:t>
            </w:r>
          </w:p>
        </w:tc>
        <w:tc>
          <w:tcPr>
            <w:tcW w:type="dxa" w:w="2160"/>
          </w:tcPr>
          <w:p>
            <w:r>
              <w:t>Scheduled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Observed Gap</w:t>
            </w:r>
          </w:p>
        </w:tc>
      </w:tr>
      <w:tr>
        <w:tc>
          <w:tcPr>
            <w:tcW w:type="dxa" w:w="2160"/>
          </w:tcPr>
          <w:p>
            <w:r>
              <w:t>First Class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~2 days</w:t>
            </w:r>
          </w:p>
        </w:tc>
        <w:tc>
          <w:tcPr>
            <w:tcW w:type="dxa" w:w="2160"/>
          </w:tcPr>
          <w:p>
            <w:r>
              <w:t>+~1 day</w:t>
            </w:r>
          </w:p>
        </w:tc>
      </w:tr>
      <w:tr>
        <w:tc>
          <w:tcPr>
            <w:tcW w:type="dxa" w:w="2160"/>
          </w:tcPr>
          <w:p>
            <w:r>
              <w:t>Second Class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~4 days</w:t>
            </w:r>
          </w:p>
        </w:tc>
        <w:tc>
          <w:tcPr>
            <w:tcW w:type="dxa" w:w="2160"/>
          </w:tcPr>
          <w:p>
            <w:r>
              <w:t>+~2 days</w:t>
            </w:r>
          </w:p>
        </w:tc>
      </w:tr>
      <w:tr>
        <w:tc>
          <w:tcPr>
            <w:tcW w:type="dxa" w:w="2160"/>
          </w:tcPr>
          <w:p>
            <w:r>
              <w:t>Same Day</w:t>
            </w:r>
          </w:p>
        </w:tc>
        <w:tc>
          <w:tcPr>
            <w:tcW w:type="dxa" w:w="2160"/>
          </w:tcPr>
          <w:p>
            <w:r>
              <w:t>0 days</w:t>
            </w:r>
          </w:p>
        </w:tc>
        <w:tc>
          <w:tcPr>
            <w:tcW w:type="dxa" w:w="2160"/>
          </w:tcPr>
          <w:p>
            <w:r>
              <w:t>~0.5 day</w:t>
            </w:r>
          </w:p>
        </w:tc>
        <w:tc>
          <w:tcPr>
            <w:tcW w:type="dxa" w:w="2160"/>
          </w:tcPr>
          <w:p>
            <w:r>
              <w:t>+~0.5 day</w:t>
            </w:r>
          </w:p>
        </w:tc>
      </w:tr>
      <w:tr>
        <w:tc>
          <w:tcPr>
            <w:tcW w:type="dxa" w:w="2160"/>
          </w:tcPr>
          <w:p>
            <w:r>
              <w:t>Standard Class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  <w:tc>
          <w:tcPr>
            <w:tcW w:type="dxa" w:w="2160"/>
          </w:tcPr>
          <w:p>
            <w:r>
              <w:t>~4 days</w:t>
            </w:r>
          </w:p>
        </w:tc>
        <w:tc>
          <w:tcPr>
            <w:tcW w:type="dxa" w:w="2160"/>
          </w:tcPr>
          <w:p>
            <w:r>
              <w:t>~0 day</w:t>
            </w:r>
          </w:p>
        </w:tc>
      </w:tr>
    </w:tbl>
    <w:p>
      <w:r>
        <w:t>Finding: First Class and Second Class show the clearest scheduled-versus-actual execution gaps. The source SQL explicitly calculates actual days, scheduled days and their gap by Shipping Mode. fileciteturn41file4</w:t>
      </w:r>
    </w:p>
    <w:p>
      <w:pPr>
        <w:pStyle w:val="Heading1"/>
      </w:pPr>
      <w:r>
        <w:t>11. Second Class SLA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Scheduled time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Median actual time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Actual &gt; 2-day schedule</w:t>
            </w:r>
          </w:p>
        </w:tc>
        <w:tc>
          <w:tcPr>
            <w:tcW w:type="dxa" w:w="4320"/>
          </w:tcPr>
          <w:p>
            <w:r>
              <w:t>79.89%</w:t>
            </w:r>
          </w:p>
        </w:tc>
      </w:tr>
      <w:tr>
        <w:tc>
          <w:tcPr>
            <w:tcW w:type="dxa" w:w="4320"/>
          </w:tcPr>
          <w:p>
            <w:r>
              <w:t>5–6 day execution group</w:t>
            </w:r>
          </w:p>
        </w:tc>
        <w:tc>
          <w:tcPr>
            <w:tcW w:type="dxa" w:w="4320"/>
          </w:tcPr>
          <w:p>
            <w:r>
              <w:t>40.07%</w:t>
            </w:r>
          </w:p>
        </w:tc>
      </w:tr>
    </w:tbl>
    <w:p>
      <w:r>
        <w:t>The 5–6 day group was approximately 40.07%, indicating that the observed pattern was not limited to a small number of extreme cases.</w:t>
      </w:r>
    </w:p>
    <w:p>
      <w:r>
        <w:t>A scenario using a 4-day SLA reduced the late classification by approximately 39.82 percentage points, but a substantial 5–6 day execution group remained. Therefore, an SLA definition change alone does not describe the underlying execution pattern.</w:t>
      </w:r>
    </w:p>
    <w:p>
      <w:pPr>
        <w:pStyle w:val="Heading1"/>
      </w:pPr>
      <w:r>
        <w:t>12. Order Status Analysis</w:t>
      </w:r>
    </w:p>
    <w:p>
      <w:r>
        <w:t>SQL analyses 19 and 20 examine Orders and Sales by Order Status using distinct Order Id counts and Sales aggregation. fileciteturn41file5</w:t>
      </w:r>
    </w:p>
    <w:p>
      <w:r>
        <w:t>The recorded project analysis did not identify Order Status as the strongest explanation for the late-delivery pattern; Shipping Mode provided the clearer operational differentiation.</w:t>
      </w:r>
    </w:p>
    <w:p>
      <w:pPr>
        <w:pStyle w:val="Heading1"/>
      </w:pPr>
      <w:r>
        <w:t>13. Customer Profitability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Customer Group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Profit</w:t>
            </w:r>
          </w:p>
        </w:tc>
        <w:tc>
          <w:tcPr>
            <w:tcW w:type="dxa" w:w="1728"/>
          </w:tcPr>
          <w:p>
            <w:r>
              <w:t>Margin</w:t>
            </w:r>
          </w:p>
        </w:tc>
      </w:tr>
      <w:tr>
        <w:tc>
          <w:tcPr>
            <w:tcW w:type="dxa" w:w="1728"/>
          </w:tcPr>
          <w:p>
            <w:r>
              <w:t>All loss-making customers</w:t>
            </w:r>
          </w:p>
        </w:tc>
        <w:tc>
          <w:tcPr>
            <w:tcW w:type="dxa" w:w="1728"/>
          </w:tcPr>
          <w:p>
            <w:r>
              <w:t>3,660</w:t>
            </w:r>
          </w:p>
        </w:tc>
        <w:tc>
          <w:tcPr>
            <w:tcW w:type="dxa" w:w="1728"/>
          </w:tcPr>
          <w:p>
            <w:r>
              <w:t>7.05M</w:t>
            </w:r>
          </w:p>
        </w:tc>
        <w:tc>
          <w:tcPr>
            <w:tcW w:type="dxa" w:w="1728"/>
          </w:tcPr>
          <w:p>
            <w:r>
              <w:t>-1.04M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</w:tr>
      <w:tr>
        <w:tc>
          <w:tcPr>
            <w:tcW w:type="dxa" w:w="1728"/>
          </w:tcPr>
          <w:p>
            <w:r>
              <w:t>Consumer</w:t>
            </w:r>
          </w:p>
        </w:tc>
        <w:tc>
          <w:tcPr>
            <w:tcW w:type="dxa" w:w="1728"/>
          </w:tcPr>
          <w:p>
            <w:r>
              <w:t>1,885</w:t>
            </w:r>
          </w:p>
        </w:tc>
        <w:tc>
          <w:tcPr>
            <w:tcW w:type="dxa" w:w="1728"/>
          </w:tcPr>
          <w:p>
            <w:r>
              <w:t>3.65M</w:t>
            </w:r>
          </w:p>
        </w:tc>
        <w:tc>
          <w:tcPr>
            <w:tcW w:type="dxa" w:w="1728"/>
          </w:tcPr>
          <w:p>
            <w:r>
              <w:t>-0.53M</w:t>
            </w:r>
          </w:p>
        </w:tc>
        <w:tc>
          <w:tcPr>
            <w:tcW w:type="dxa" w:w="1728"/>
          </w:tcPr>
          <w:p>
            <w:r>
              <w:t>-14.59%</w:t>
            </w:r>
          </w:p>
        </w:tc>
      </w:tr>
      <w:tr>
        <w:tc>
          <w:tcPr>
            <w:tcW w:type="dxa" w:w="1728"/>
          </w:tcPr>
          <w:p>
            <w:r>
              <w:t>Corporate</w:t>
            </w:r>
          </w:p>
        </w:tc>
        <w:tc>
          <w:tcPr>
            <w:tcW w:type="dxa" w:w="1728"/>
          </w:tcPr>
          <w:p>
            <w:r>
              <w:t>1,090</w:t>
            </w:r>
          </w:p>
        </w:tc>
        <w:tc>
          <w:tcPr>
            <w:tcW w:type="dxa" w:w="1728"/>
          </w:tcPr>
          <w:p>
            <w:r>
              <w:t>2.12M</w:t>
            </w:r>
          </w:p>
        </w:tc>
        <w:tc>
          <w:tcPr>
            <w:tcW w:type="dxa" w:w="1728"/>
          </w:tcPr>
          <w:p>
            <w:r>
              <w:t>-0.32M</w:t>
            </w:r>
          </w:p>
        </w:tc>
        <w:tc>
          <w:tcPr>
            <w:tcW w:type="dxa" w:w="1728"/>
          </w:tcPr>
          <w:p>
            <w:r>
              <w:t>-14.90%</w:t>
            </w:r>
          </w:p>
        </w:tc>
      </w:tr>
      <w:tr>
        <w:tc>
          <w:tcPr>
            <w:tcW w:type="dxa" w:w="1728"/>
          </w:tcPr>
          <w:p>
            <w:r>
              <w:t>Home Office</w:t>
            </w:r>
          </w:p>
        </w:tc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1.28M</w:t>
            </w:r>
          </w:p>
        </w:tc>
        <w:tc>
          <w:tcPr>
            <w:tcW w:type="dxa" w:w="1728"/>
          </w:tcPr>
          <w:p>
            <w:r>
              <w:t>-0.20M</w:t>
            </w:r>
          </w:p>
        </w:tc>
        <w:tc>
          <w:tcPr>
            <w:tcW w:type="dxa" w:w="1728"/>
          </w:tcPr>
          <w:p>
            <w:r>
              <w:t>-15.29%</w:t>
            </w:r>
          </w:p>
        </w:tc>
      </w:tr>
    </w:tbl>
    <w:p>
      <w:r>
        <w:t>The loss-making customer group represented 19.34% of Sales and an aggregate negative profit of approximately 1.04M. The negative-margin pattern occurred across all three customer segments.</w:t>
      </w:r>
    </w:p>
    <w:p>
      <w:pPr>
        <w:pStyle w:val="Heading1"/>
      </w:pPr>
      <w:r>
        <w:t>14. Loss-Making Customers by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Customers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Profit</w:t>
            </w:r>
          </w:p>
        </w:tc>
        <w:tc>
          <w:tcPr>
            <w:tcW w:type="dxa" w:w="1728"/>
          </w:tcPr>
          <w:p>
            <w:r>
              <w:t>Loss Margin</w:t>
            </w:r>
          </w:p>
        </w:tc>
      </w:tr>
      <w:tr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2,452</w:t>
            </w:r>
          </w:p>
        </w:tc>
        <w:tc>
          <w:tcPr>
            <w:tcW w:type="dxa" w:w="1728"/>
          </w:tcPr>
          <w:p>
            <w:r>
              <w:t>2.34M</w:t>
            </w:r>
          </w:p>
        </w:tc>
        <w:tc>
          <w:tcPr>
            <w:tcW w:type="dxa" w:w="1728"/>
          </w:tcPr>
          <w:p>
            <w:r>
              <w:t>-0.59M</w:t>
            </w:r>
          </w:p>
        </w:tc>
        <w:tc>
          <w:tcPr>
            <w:tcW w:type="dxa" w:w="1728"/>
          </w:tcPr>
          <w:p>
            <w:r>
              <w:t>-25.26%</w:t>
            </w:r>
          </w:p>
        </w:tc>
      </w:tr>
      <w:tr>
        <w:tc>
          <w:tcPr>
            <w:tcW w:type="dxa" w:w="1728"/>
          </w:tcPr>
          <w:p>
            <w:r>
              <w:t>Pacific Asia</w:t>
            </w:r>
          </w:p>
        </w:tc>
        <w:tc>
          <w:tcPr>
            <w:tcW w:type="dxa" w:w="1728"/>
          </w:tcPr>
          <w:p>
            <w:r>
              <w:t>2,351</w:t>
            </w:r>
          </w:p>
        </w:tc>
        <w:tc>
          <w:tcPr>
            <w:tcW w:type="dxa" w:w="1728"/>
          </w:tcPr>
          <w:p>
            <w:r>
              <w:t>1.75M</w:t>
            </w:r>
          </w:p>
        </w:tc>
        <w:tc>
          <w:tcPr>
            <w:tcW w:type="dxa" w:w="1728"/>
          </w:tcPr>
          <w:p>
            <w:r>
              <w:t>-0.49M</w:t>
            </w:r>
          </w:p>
        </w:tc>
        <w:tc>
          <w:tcPr>
            <w:tcW w:type="dxa" w:w="1728"/>
          </w:tcPr>
          <w:p>
            <w:r>
              <w:t>-27.80%</w:t>
            </w:r>
          </w:p>
        </w:tc>
      </w:tr>
      <w:tr>
        <w:tc>
          <w:tcPr>
            <w:tcW w:type="dxa" w:w="1728"/>
          </w:tcPr>
          <w:p>
            <w:r>
              <w:t>LATAM</w:t>
            </w:r>
          </w:p>
        </w:tc>
        <w:tc>
          <w:tcPr>
            <w:tcW w:type="dxa" w:w="1728"/>
          </w:tcPr>
          <w:p>
            <w:r>
              <w:t>1,981</w:t>
            </w:r>
          </w:p>
        </w:tc>
        <w:tc>
          <w:tcPr>
            <w:tcW w:type="dxa" w:w="1728"/>
          </w:tcPr>
          <w:p>
            <w:r>
              <w:t>2.20M</w:t>
            </w:r>
          </w:p>
        </w:tc>
        <w:tc>
          <w:tcPr>
            <w:tcW w:type="dxa" w:w="1728"/>
          </w:tcPr>
          <w:p>
            <w:r>
              <w:t>-0.47M</w:t>
            </w:r>
          </w:p>
        </w:tc>
        <w:tc>
          <w:tcPr>
            <w:tcW w:type="dxa" w:w="1728"/>
          </w:tcPr>
          <w:p>
            <w:r>
              <w:t>-21.33%</w:t>
            </w:r>
          </w:p>
        </w:tc>
      </w:tr>
      <w:tr>
        <w:tc>
          <w:tcPr>
            <w:tcW w:type="dxa" w:w="1728"/>
          </w:tcPr>
          <w:p>
            <w:r>
              <w:t>USCA</w:t>
            </w:r>
          </w:p>
        </w:tc>
        <w:tc>
          <w:tcPr>
            <w:tcW w:type="dxa" w:w="1728"/>
          </w:tcPr>
          <w:p>
            <w:r>
              <w:t>1,344</w:t>
            </w:r>
          </w:p>
        </w:tc>
        <w:tc>
          <w:tcPr>
            <w:tcW w:type="dxa" w:w="1728"/>
          </w:tcPr>
          <w:p>
            <w:r>
              <w:t>1.12M</w:t>
            </w:r>
          </w:p>
        </w:tc>
        <w:tc>
          <w:tcPr>
            <w:tcW w:type="dxa" w:w="1728"/>
          </w:tcPr>
          <w:p>
            <w:r>
              <w:t>-0.28M</w:t>
            </w:r>
          </w:p>
        </w:tc>
        <w:tc>
          <w:tcPr>
            <w:tcW w:type="dxa" w:w="1728"/>
          </w:tcPr>
          <w:p>
            <w:r>
              <w:t>-25.07%</w:t>
            </w:r>
          </w:p>
        </w:tc>
      </w:tr>
      <w:tr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688</w:t>
            </w:r>
          </w:p>
        </w:tc>
        <w:tc>
          <w:tcPr>
            <w:tcW w:type="dxa" w:w="1728"/>
          </w:tcPr>
          <w:p>
            <w:r>
              <w:t>0.50M</w:t>
            </w:r>
          </w:p>
        </w:tc>
        <w:tc>
          <w:tcPr>
            <w:tcW w:type="dxa" w:w="1728"/>
          </w:tcPr>
          <w:p>
            <w:r>
              <w:t>-0.14M</w:t>
            </w:r>
          </w:p>
        </w:tc>
        <w:tc>
          <w:tcPr>
            <w:tcW w:type="dxa" w:w="1728"/>
          </w:tcPr>
          <w:p>
            <w:r>
              <w:t>-27.19%</w:t>
            </w:r>
          </w:p>
        </w:tc>
      </w:tr>
    </w:tbl>
    <w:p>
      <w:r>
        <w:t>Finding: Loss-making customer relationships were distributed across all five markets rather than being isolated to one geography.</w:t>
      </w:r>
    </w:p>
    <w:p>
      <w:pPr>
        <w:pStyle w:val="Heading1"/>
      </w:pPr>
      <w:r>
        <w:t>15. Profitability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Profit Margin</w:t>
            </w:r>
          </w:p>
        </w:tc>
        <w:tc>
          <w:tcPr>
            <w:tcW w:type="dxa" w:w="2880"/>
          </w:tcPr>
          <w:p>
            <w:r>
              <w:t>AOV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10.76%</w:t>
            </w:r>
          </w:p>
        </w:tc>
        <w:tc>
          <w:tcPr>
            <w:tcW w:type="dxa" w:w="2880"/>
          </w:tcPr>
          <w:p>
            <w:r>
              <w:t>585.77</w:t>
            </w:r>
          </w:p>
        </w:tc>
      </w:tr>
      <w:tr>
        <w:tc>
          <w:tcPr>
            <w:tcW w:type="dxa" w:w="2880"/>
          </w:tcPr>
          <w:p>
            <w:r>
              <w:t>LATAM</w:t>
            </w:r>
          </w:p>
        </w:tc>
        <w:tc>
          <w:tcPr>
            <w:tcW w:type="dxa" w:w="2880"/>
          </w:tcPr>
          <w:p>
            <w:r>
              <w:t>10.93%</w:t>
            </w:r>
          </w:p>
        </w:tc>
        <w:tc>
          <w:tcPr>
            <w:tcW w:type="dxa" w:w="2880"/>
          </w:tcPr>
          <w:p>
            <w:r>
              <w:t>598.20</w:t>
            </w:r>
          </w:p>
        </w:tc>
      </w:tr>
      <w:tr>
        <w:tc>
          <w:tcPr>
            <w:tcW w:type="dxa" w:w="2880"/>
          </w:tcPr>
          <w:p>
            <w:r>
              <w:t>Pacific Asia</w:t>
            </w:r>
          </w:p>
        </w:tc>
        <w:tc>
          <w:tcPr>
            <w:tcW w:type="dxa" w:w="2880"/>
          </w:tcPr>
          <w:p>
            <w:r>
              <w:t>10.37%</w:t>
            </w:r>
          </w:p>
        </w:tc>
        <w:tc>
          <w:tcPr>
            <w:tcW w:type="dxa" w:w="2880"/>
          </w:tcPr>
          <w:p>
            <w:r>
              <w:t>513.92</w:t>
            </w:r>
          </w:p>
        </w:tc>
      </w:tr>
      <w:tr>
        <w:tc>
          <w:tcPr>
            <w:tcW w:type="dxa" w:w="2880"/>
          </w:tcPr>
          <w:p>
            <w:r>
              <w:t>USCA</w:t>
            </w:r>
          </w:p>
        </w:tc>
        <w:tc>
          <w:tcPr>
            <w:tcW w:type="dxa" w:w="2880"/>
          </w:tcPr>
          <w:p>
            <w:r>
              <w:t>11.14%</w:t>
            </w:r>
          </w:p>
        </w:tc>
        <w:tc>
          <w:tcPr>
            <w:tcW w:type="dxa" w:w="2880"/>
          </w:tcPr>
          <w:p>
            <w:r>
              <w:t>590.57</w:t>
            </w:r>
          </w:p>
        </w:tc>
      </w:tr>
      <w:tr>
        <w:tc>
          <w:tcPr>
            <w:tcW w:type="dxa" w:w="2880"/>
          </w:tcPr>
          <w:p>
            <w:r>
              <w:t>Africa</w:t>
            </w:r>
          </w:p>
        </w:tc>
        <w:tc>
          <w:tcPr>
            <w:tcW w:type="dxa" w:w="2880"/>
          </w:tcPr>
          <w:p>
            <w:r>
              <w:t>10.99%</w:t>
            </w:r>
          </w:p>
        </w:tc>
        <w:tc>
          <w:tcPr>
            <w:tcW w:type="dxa" w:w="2880"/>
          </w:tcPr>
          <w:p>
            <w:r>
              <w:t>595.34</w:t>
            </w:r>
          </w:p>
        </w:tc>
      </w:tr>
    </w:tbl>
    <w:p>
      <w:r>
        <w:t>The project also examined high-sales/low-profit combinations. The recorded product analysis did not identify one dominant high-sales/low-margin outlier; product margins were generally around the 10–12% range.</w:t>
      </w:r>
    </w:p>
    <w:p>
      <w:r>
        <w:t>The SQL source includes dedicated HAVING-based analyses for profitable categories and high-sales/low-profit products. fileciteturn41file5turn41file7</w:t>
      </w:r>
    </w:p>
    <w:p>
      <w:pPr>
        <w:pStyle w:val="Heading1"/>
      </w:pPr>
      <w:r>
        <w:t>16. Advanced SQL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SQL Pattern</w:t>
            </w:r>
          </w:p>
        </w:tc>
        <w:tc>
          <w:tcPr>
            <w:tcW w:type="dxa" w:w="2880"/>
          </w:tcPr>
          <w:p>
            <w:r>
              <w:t>Business Purpose</w:t>
            </w:r>
          </w:p>
        </w:tc>
      </w:tr>
      <w:tr>
        <w:tc>
          <w:tcPr>
            <w:tcW w:type="dxa" w:w="2880"/>
          </w:tcPr>
          <w:p>
            <w:r>
              <w:t>Profit Classification</w:t>
            </w:r>
          </w:p>
        </w:tc>
        <w:tc>
          <w:tcPr>
            <w:tcW w:type="dxa" w:w="2880"/>
          </w:tcPr>
          <w:p>
            <w:r>
              <w:t>CASE WHEN</w:t>
            </w:r>
          </w:p>
        </w:tc>
        <w:tc>
          <w:tcPr>
            <w:tcW w:type="dxa" w:w="2880"/>
          </w:tcPr>
          <w:p>
            <w:r>
              <w:t>Classify Profit / Loss / Break-even</w:t>
            </w:r>
          </w:p>
        </w:tc>
      </w:tr>
      <w:tr>
        <w:tc>
          <w:tcPr>
            <w:tcW w:type="dxa" w:w="2880"/>
          </w:tcPr>
          <w:p>
            <w:r>
              <w:t>Profitable Categories</w:t>
            </w:r>
          </w:p>
        </w:tc>
        <w:tc>
          <w:tcPr>
            <w:tcW w:type="dxa" w:w="2880"/>
          </w:tcPr>
          <w:p>
            <w:r>
              <w:t>HAVING</w:t>
            </w:r>
          </w:p>
        </w:tc>
        <w:tc>
          <w:tcPr>
            <w:tcW w:type="dxa" w:w="2880"/>
          </w:tcPr>
          <w:p>
            <w:r>
              <w:t>Filter categories above $100K profit</w:t>
            </w:r>
          </w:p>
        </w:tc>
      </w:tr>
      <w:tr>
        <w:tc>
          <w:tcPr>
            <w:tcW w:type="dxa" w:w="2880"/>
          </w:tcPr>
          <w:p>
            <w:r>
              <w:t>High-Sales Products</w:t>
            </w:r>
          </w:p>
        </w:tc>
        <w:tc>
          <w:tcPr>
            <w:tcW w:type="dxa" w:w="2880"/>
          </w:tcPr>
          <w:p>
            <w:r>
              <w:t>CTE</w:t>
            </w:r>
          </w:p>
        </w:tc>
        <w:tc>
          <w:tcPr>
            <w:tcW w:type="dxa" w:w="2880"/>
          </w:tcPr>
          <w:p>
            <w:r>
              <w:t>Identify products above $1M Sales</w:t>
            </w:r>
          </w:p>
        </w:tc>
      </w:tr>
      <w:tr>
        <w:tc>
          <w:tcPr>
            <w:tcW w:type="dxa" w:w="2880"/>
          </w:tcPr>
          <w:p>
            <w:r>
              <w:t>Product Ranking</w:t>
            </w:r>
          </w:p>
        </w:tc>
        <w:tc>
          <w:tcPr>
            <w:tcW w:type="dxa" w:w="2880"/>
          </w:tcPr>
          <w:p>
            <w:r>
              <w:t>RANK() OVER</w:t>
            </w:r>
          </w:p>
        </w:tc>
        <w:tc>
          <w:tcPr>
            <w:tcW w:type="dxa" w:w="2880"/>
          </w:tcPr>
          <w:p>
            <w:r>
              <w:t>Rank products by Sales</w:t>
            </w:r>
          </w:p>
        </w:tc>
      </w:tr>
      <w:tr>
        <w:tc>
          <w:tcPr>
            <w:tcW w:type="dxa" w:w="2880"/>
          </w:tcPr>
          <w:p>
            <w:r>
              <w:t>Top 10 Customers</w:t>
            </w:r>
          </w:p>
        </w:tc>
        <w:tc>
          <w:tcPr>
            <w:tcW w:type="dxa" w:w="2880"/>
          </w:tcPr>
          <w:p>
            <w:r>
              <w:t>GROUP BY + LIMIT</w:t>
            </w:r>
          </w:p>
        </w:tc>
        <w:tc>
          <w:tcPr>
            <w:tcW w:type="dxa" w:w="2880"/>
          </w:tcPr>
          <w:p>
            <w:r>
              <w:t>Identify highest-sales customers</w:t>
            </w:r>
          </w:p>
        </w:tc>
      </w:tr>
      <w:tr>
        <w:tc>
          <w:tcPr>
            <w:tcW w:type="dxa" w:w="2880"/>
          </w:tcPr>
          <w:p>
            <w:r>
              <w:t>Customer AOV</w:t>
            </w:r>
          </w:p>
        </w:tc>
        <w:tc>
          <w:tcPr>
            <w:tcW w:type="dxa" w:w="2880"/>
          </w:tcPr>
          <w:p>
            <w:r>
              <w:t>SUM / COUNT(DISTINCT)</w:t>
            </w:r>
          </w:p>
        </w:tc>
        <w:tc>
          <w:tcPr>
            <w:tcW w:type="dxa" w:w="2880"/>
          </w:tcPr>
          <w:p>
            <w:r>
              <w:t>Compare order value by segment</w:t>
            </w:r>
          </w:p>
        </w:tc>
      </w:tr>
      <w:tr>
        <w:tc>
          <w:tcPr>
            <w:tcW w:type="dxa" w:w="2880"/>
          </w:tcPr>
          <w:p>
            <w:r>
              <w:t>Category Margin</w:t>
            </w:r>
          </w:p>
        </w:tc>
        <w:tc>
          <w:tcPr>
            <w:tcW w:type="dxa" w:w="2880"/>
          </w:tcPr>
          <w:p>
            <w:r>
              <w:t>SUM Profit / SUM Sales</w:t>
            </w:r>
          </w:p>
        </w:tc>
        <w:tc>
          <w:tcPr>
            <w:tcW w:type="dxa" w:w="2880"/>
          </w:tcPr>
          <w:p>
            <w:r>
              <w:t>Measure profitability</w:t>
            </w:r>
          </w:p>
        </w:tc>
      </w:tr>
      <w:tr>
        <w:tc>
          <w:tcPr>
            <w:tcW w:type="dxa" w:w="2880"/>
          </w:tcPr>
          <w:p>
            <w:r>
              <w:t>High Sales / Low Profit</w:t>
            </w:r>
          </w:p>
        </w:tc>
        <w:tc>
          <w:tcPr>
            <w:tcW w:type="dxa" w:w="2880"/>
          </w:tcPr>
          <w:p>
            <w:r>
              <w:t>HAVING</w:t>
            </w:r>
          </w:p>
        </w:tc>
        <w:tc>
          <w:tcPr>
            <w:tcW w:type="dxa" w:w="2880"/>
          </w:tcPr>
          <w:p>
            <w:r>
              <w:t>Flag selected combinations</w:t>
            </w:r>
          </w:p>
        </w:tc>
      </w:tr>
    </w:tbl>
    <w:p>
      <w:r>
        <w:t>These patterns are directly represented in analyses 21–29 of the source SQL document. fileciteturn41file5turn41file6</w:t>
      </w:r>
    </w:p>
    <w:p>
      <w:pPr>
        <w:pStyle w:val="Heading1"/>
      </w:pPr>
      <w:r>
        <w:t>17. Final SQL Business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Business Area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2017 Sales 11.81M</w:t>
            </w:r>
          </w:p>
        </w:tc>
        <w:tc>
          <w:tcPr>
            <w:tcW w:type="dxa" w:w="2880"/>
          </w:tcPr>
          <w:p>
            <w:r>
              <w:t>Sales declined from 2016</w:t>
            </w:r>
          </w:p>
        </w:tc>
      </w:tr>
      <w:tr>
        <w:tc>
          <w:tcPr>
            <w:tcW w:type="dxa" w:w="2880"/>
          </w:tcPr>
          <w:p>
            <w:r>
              <w:t>Customer Growth</w:t>
            </w:r>
          </w:p>
        </w:tc>
        <w:tc>
          <w:tcPr>
            <w:tcW w:type="dxa" w:w="2880"/>
          </w:tcPr>
          <w:p>
            <w:r>
              <w:t>15,156 customers in 2017</w:t>
            </w:r>
          </w:p>
        </w:tc>
        <w:tc>
          <w:tcPr>
            <w:tcW w:type="dxa" w:w="2880"/>
          </w:tcPr>
          <w:p>
            <w:r>
              <w:t>Customer base expanded</w:t>
            </w:r>
          </w:p>
        </w:tc>
      </w:tr>
      <w:tr>
        <w:tc>
          <w:tcPr>
            <w:tcW w:type="dxa" w:w="2880"/>
          </w:tcPr>
          <w:p>
            <w:r>
              <w:t>Order Value</w:t>
            </w:r>
          </w:p>
        </w:tc>
        <w:tc>
          <w:tcPr>
            <w:tcW w:type="dxa" w:w="2880"/>
          </w:tcPr>
          <w:p>
            <w:r>
              <w:t>2017 AOV 540.04</w:t>
            </w:r>
          </w:p>
        </w:tc>
        <w:tc>
          <w:tcPr>
            <w:tcW w:type="dxa" w:w="2880"/>
          </w:tcPr>
          <w:p>
            <w:r>
              <w:t>Lower AOV limited Sales growth</w:t>
            </w:r>
          </w:p>
        </w:tc>
      </w:tr>
      <w:tr>
        <w:tc>
          <w:tcPr>
            <w:tcW w:type="dxa" w:w="2880"/>
          </w:tcPr>
          <w:p>
            <w:r>
              <w:t>Profitability</w:t>
            </w:r>
          </w:p>
        </w:tc>
        <w:tc>
          <w:tcPr>
            <w:tcW w:type="dxa" w:w="2880"/>
          </w:tcPr>
          <w:p>
            <w:r>
              <w:t>3.93M Profit / 10.79% Margin</w:t>
            </w:r>
          </w:p>
        </w:tc>
        <w:tc>
          <w:tcPr>
            <w:tcW w:type="dxa" w:w="2880"/>
          </w:tcPr>
          <w:p>
            <w:r>
              <w:t>Profit remained broadly stable while margin improved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54.81% Late Delivery</w:t>
            </w:r>
          </w:p>
        </w:tc>
        <w:tc>
          <w:tcPr>
            <w:tcW w:type="dxa" w:w="2880"/>
          </w:tcPr>
          <w:p>
            <w:r>
              <w:t>Persistent operational issue</w:t>
            </w:r>
          </w:p>
        </w:tc>
      </w:tr>
      <w:tr>
        <w:tc>
          <w:tcPr>
            <w:tcW w:type="dxa" w:w="2880"/>
          </w:tcPr>
          <w:p>
            <w:r>
              <w:t>Shipping Mode</w:t>
            </w:r>
          </w:p>
        </w:tc>
        <w:tc>
          <w:tcPr>
            <w:tcW w:type="dxa" w:w="2880"/>
          </w:tcPr>
          <w:p>
            <w:r>
              <w:t>First Class 95.18% / Second Class 76.70%</w:t>
            </w:r>
          </w:p>
        </w:tc>
        <w:tc>
          <w:tcPr>
            <w:tcW w:type="dxa" w:w="2880"/>
          </w:tcPr>
          <w:p>
            <w:r>
              <w:t>Strong operational differentiation</w:t>
            </w:r>
          </w:p>
        </w:tc>
      </w:tr>
      <w:tr>
        <w:tc>
          <w:tcPr>
            <w:tcW w:type="dxa" w:w="2880"/>
          </w:tcPr>
          <w:p>
            <w:r>
              <w:t>Customer Profitability</w:t>
            </w:r>
          </w:p>
        </w:tc>
        <w:tc>
          <w:tcPr>
            <w:tcW w:type="dxa" w:w="2880"/>
          </w:tcPr>
          <w:p>
            <w:r>
              <w:t>3,660 loss-making customers</w:t>
            </w:r>
          </w:p>
        </w:tc>
        <w:tc>
          <w:tcPr>
            <w:tcW w:type="dxa" w:w="2880"/>
          </w:tcPr>
          <w:p>
            <w:r>
              <w:t>Negative aggregate customer profit requires investigation</w:t>
            </w:r>
          </w:p>
        </w:tc>
      </w:tr>
      <w:tr>
        <w:tc>
          <w:tcPr>
            <w:tcW w:type="dxa" w:w="2880"/>
          </w:tcPr>
          <w:p>
            <w:r>
              <w:t>Sales Decline Drivers</w:t>
            </w:r>
          </w:p>
        </w:tc>
        <w:tc>
          <w:tcPr>
            <w:tcW w:type="dxa" w:w="2880"/>
          </w:tcPr>
          <w:p>
            <w:r>
              <w:t>Dell Laptop -0.27M; Web Camera -0.14M; Children's heaters -0.09M</w:t>
            </w:r>
          </w:p>
        </w:tc>
        <w:tc>
          <w:tcPr>
            <w:tcW w:type="dxa" w:w="2880"/>
          </w:tcPr>
          <w:p>
            <w:r>
              <w:t>Decline concentrated in specific products</w:t>
            </w:r>
          </w:p>
        </w:tc>
      </w:tr>
    </w:tbl>
    <w:p>
      <w:pPr>
        <w:pStyle w:val="Heading1"/>
      </w:pPr>
      <w:r>
        <w:t>18. SQL → Power BI Handoff</w:t>
      </w:r>
    </w:p>
    <w:p>
      <w:r>
        <w:t>The SQL analysis established the business evidence used in the next reporting layer: KPI definitions, Sales and Profit dimensions, delivery patterns, customer/product analysis and year-over-year performance.</w:t>
      </w:r>
    </w:p>
    <w:p>
      <w:r>
        <w:t>Flow: SQL Business Analysis → KPI / Driver Identification → Power BI Model &amp; DAX → Interactive Dashboard</w:t>
      </w:r>
    </w:p>
    <w:p>
      <w:pPr>
        <w:pStyle w:val="Heading1"/>
      </w:pPr>
      <w:r>
        <w:t>19. Overall SQL Outcome</w:t>
      </w:r>
    </w:p>
    <w:p>
      <w:r>
        <w:t>The SQL layer moved the project from KPI measurement to structured business investigation: KPI baseline → dimension analysis → trend analysis → drill-down diagnosis → delivery analysis → profitability investigation → customer-level analysis → executive summary.</w:t>
      </w:r>
    </w:p>
    <w:p>
      <w:r>
        <w:t>The complete 30-query SQL source is maintained separately as the technical SQL Code Reference. This report intentionally focuses on the business results and analytical story rather than reproducing all SQL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