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EXECUTIVE BUSINESS INSIGHTS</w:t>
      </w:r>
    </w:p>
    <w:p>
      <w:pPr>
        <w:jc w:val="center"/>
      </w:pPr>
      <w:r>
        <w:rPr>
          <w:b/>
          <w:sz w:val="24"/>
        </w:rPr>
        <w:t>Supply Chain &amp; Sales Analysis | End-to-End Data Analyst Project</w:t>
      </w:r>
    </w:p>
    <w:p>
      <w:pPr>
        <w:jc w:val="center"/>
      </w:pPr>
      <w:r>
        <w:rPr>
          <w:sz w:val="18"/>
        </w:rPr>
        <w:t>Business Analysis Period: 01-Jan-2015 to 31-Dec-2017</w:t>
      </w:r>
    </w:p>
    <w:p>
      <w:pPr>
        <w:pStyle w:val="Heading1"/>
      </w:pPr>
      <w:r>
        <w:t>1. Executive Summary</w:t>
      </w:r>
    </w:p>
    <w:p>
      <w:r>
        <w:t>The analysis presents a business with strong customer-base expansion, moderate order growth, declining average order value, lower total sales, broadly stable absolute profit, improving profit margin, and persistently high late-delivery levels.</w:t>
      </w:r>
    </w:p>
    <w:p>
      <w:r>
        <w:t>The central business story is not a single KPI movement. It is the relationship between customer growth, order productivity, order value, sales, profitability and delivery execution.</w:t>
      </w:r>
    </w:p>
    <w:p>
      <w:pPr>
        <w:pStyle w:val="Heading1"/>
      </w:pPr>
      <w:r>
        <w:t>2. Overall Business Performance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8"/>
            <w:vAlign w:val="center"/>
          </w:tcPr>
          <w:p>
            <w:r/>
            <w:r>
              <w:rPr>
                <w:b/>
                <w:color w:val="FFFFFF"/>
                <w:sz w:val="17"/>
              </w:rPr>
              <w:t>KPI</w:t>
            </w:r>
          </w:p>
        </w:tc>
        <w:tc>
          <w:tcPr>
            <w:tcW w:type="dxa" w:w="3456"/>
            <w:shd w:fill="1F4E78"/>
            <w:vAlign w:val="center"/>
          </w:tcPr>
          <w:p>
            <w:r/>
            <w:r>
              <w:rPr>
                <w:b/>
                <w:color w:val="FFFFFF"/>
                <w:sz w:val="17"/>
              </w:rPr>
              <w:t>2015–2017</w:t>
            </w:r>
          </w:p>
        </w:tc>
        <w:tc>
          <w:tcPr>
            <w:tcW w:type="dxa" w:w="3456"/>
            <w:shd w:fill="1F4E78"/>
            <w:vAlign w:val="center"/>
          </w:tcPr>
          <w:p>
            <w:r/>
            <w:r>
              <w:rPr>
                <w:b/>
                <w:color w:val="FFFFFF"/>
                <w:sz w:val="17"/>
              </w:rPr>
              <w:t>YoY Change</w:t>
            </w:r>
          </w:p>
        </w:tc>
      </w:tr>
      <w:tr>
        <w:tc>
          <w:tcPr>
            <w:tcW w:type="dxa" w:w="3456"/>
            <w:vAlign w:val="center"/>
          </w:tcPr>
          <w:p>
            <w:r>
              <w:rPr>
                <w:sz w:val="17"/>
              </w:rPr>
              <w:t>Total Sales</w:t>
            </w:r>
          </w:p>
        </w:tc>
        <w:tc>
          <w:tcPr>
            <w:tcW w:type="dxa" w:w="3456"/>
            <w:vAlign w:val="center"/>
          </w:tcPr>
          <w:p>
            <w:r>
              <w:rPr>
                <w:sz w:val="17"/>
              </w:rPr>
              <w:t>36.45M</w:t>
            </w:r>
          </w:p>
        </w:tc>
        <w:tc>
          <w:tcPr>
            <w:tcW w:type="dxa" w:w="3456"/>
            <w:vAlign w:val="center"/>
          </w:tcPr>
          <w:p>
            <w:r>
              <w:rPr>
                <w:sz w:val="17"/>
              </w:rPr>
              <w:t>-4.0%</w:t>
            </w:r>
          </w:p>
        </w:tc>
      </w:tr>
      <w:tr>
        <w:tc>
          <w:tcPr>
            <w:tcW w:type="dxa" w:w="3456"/>
            <w:vAlign w:val="center"/>
          </w:tcPr>
          <w:p>
            <w:r>
              <w:rPr>
                <w:sz w:val="17"/>
              </w:rPr>
              <w:t>Total Profit</w:t>
            </w:r>
          </w:p>
        </w:tc>
        <w:tc>
          <w:tcPr>
            <w:tcW w:type="dxa" w:w="3456"/>
            <w:vAlign w:val="center"/>
          </w:tcPr>
          <w:p>
            <w:r>
              <w:rPr>
                <w:sz w:val="17"/>
              </w:rPr>
              <w:t>3.93M</w:t>
            </w:r>
          </w:p>
        </w:tc>
        <w:tc>
          <w:tcPr>
            <w:tcW w:type="dxa" w:w="3456"/>
            <w:vAlign w:val="center"/>
          </w:tcPr>
          <w:p>
            <w:r>
              <w:rPr>
                <w:sz w:val="17"/>
              </w:rPr>
              <w:t>-0.5%</w:t>
            </w:r>
          </w:p>
        </w:tc>
      </w:tr>
      <w:tr>
        <w:tc>
          <w:tcPr>
            <w:tcW w:type="dxa" w:w="3456"/>
            <w:vAlign w:val="center"/>
          </w:tcPr>
          <w:p>
            <w:r>
              <w:rPr>
                <w:sz w:val="17"/>
              </w:rPr>
              <w:t>Total Orders</w:t>
            </w:r>
          </w:p>
        </w:tc>
        <w:tc>
          <w:tcPr>
            <w:tcW w:type="dxa" w:w="3456"/>
            <w:vAlign w:val="center"/>
          </w:tcPr>
          <w:p>
            <w:r>
              <w:rPr>
                <w:sz w:val="17"/>
              </w:rPr>
              <w:t>63.62K</w:t>
            </w:r>
          </w:p>
        </w:tc>
        <w:tc>
          <w:tcPr>
            <w:tcW w:type="dxa" w:w="3456"/>
            <w:vAlign w:val="center"/>
          </w:tcPr>
          <w:p>
            <w:r>
              <w:rPr>
                <w:sz w:val="17"/>
              </w:rPr>
              <w:t>+4.8%</w:t>
            </w:r>
          </w:p>
        </w:tc>
      </w:tr>
      <w:tr>
        <w:tc>
          <w:tcPr>
            <w:tcW w:type="dxa" w:w="3456"/>
            <w:vAlign w:val="center"/>
          </w:tcPr>
          <w:p>
            <w:r>
              <w:rPr>
                <w:sz w:val="17"/>
              </w:rPr>
              <w:t>Customers</w:t>
            </w:r>
          </w:p>
        </w:tc>
        <w:tc>
          <w:tcPr>
            <w:tcW w:type="dxa" w:w="3456"/>
            <w:vAlign w:val="center"/>
          </w:tcPr>
          <w:p>
            <w:r>
              <w:rPr>
                <w:sz w:val="17"/>
              </w:rPr>
              <w:t>18.52K</w:t>
            </w:r>
          </w:p>
        </w:tc>
        <w:tc>
          <w:tcPr>
            <w:tcW w:type="dxa" w:w="3456"/>
            <w:vAlign w:val="center"/>
          </w:tcPr>
          <w:p>
            <w:r>
              <w:rPr>
                <w:sz w:val="17"/>
              </w:rPr>
              <w:t>+48.3%</w:t>
            </w:r>
          </w:p>
        </w:tc>
      </w:tr>
      <w:tr>
        <w:tc>
          <w:tcPr>
            <w:tcW w:type="dxa" w:w="3456"/>
            <w:vAlign w:val="center"/>
          </w:tcPr>
          <w:p>
            <w:r>
              <w:rPr>
                <w:sz w:val="17"/>
              </w:rPr>
              <w:t>AOV</w:t>
            </w:r>
          </w:p>
        </w:tc>
        <w:tc>
          <w:tcPr>
            <w:tcW w:type="dxa" w:w="3456"/>
            <w:vAlign w:val="center"/>
          </w:tcPr>
          <w:p>
            <w:r>
              <w:rPr>
                <w:sz w:val="17"/>
              </w:rPr>
              <w:t>572.90</w:t>
            </w:r>
          </w:p>
        </w:tc>
        <w:tc>
          <w:tcPr>
            <w:tcW w:type="dxa" w:w="3456"/>
            <w:vAlign w:val="center"/>
          </w:tcPr>
          <w:p>
            <w:r>
              <w:rPr>
                <w:sz w:val="17"/>
              </w:rPr>
              <w:t>-8.4%</w:t>
            </w:r>
          </w:p>
        </w:tc>
      </w:tr>
      <w:tr>
        <w:tc>
          <w:tcPr>
            <w:tcW w:type="dxa" w:w="3456"/>
            <w:vAlign w:val="center"/>
          </w:tcPr>
          <w:p>
            <w:r>
              <w:rPr>
                <w:sz w:val="17"/>
              </w:rPr>
              <w:t>Profit Margin</w:t>
            </w:r>
          </w:p>
        </w:tc>
        <w:tc>
          <w:tcPr>
            <w:tcW w:type="dxa" w:w="3456"/>
            <w:vAlign w:val="center"/>
          </w:tcPr>
          <w:p>
            <w:r>
              <w:rPr>
                <w:sz w:val="17"/>
              </w:rPr>
              <w:t>10.79%</w:t>
            </w:r>
          </w:p>
        </w:tc>
        <w:tc>
          <w:tcPr>
            <w:tcW w:type="dxa" w:w="3456"/>
            <w:vAlign w:val="center"/>
          </w:tcPr>
          <w:p>
            <w:r>
              <w:rPr>
                <w:sz w:val="17"/>
              </w:rPr>
              <w:t>+3.7%</w:t>
            </w:r>
          </w:p>
        </w:tc>
      </w:tr>
      <w:tr>
        <w:tc>
          <w:tcPr>
            <w:tcW w:type="dxa" w:w="3456"/>
            <w:vAlign w:val="center"/>
          </w:tcPr>
          <w:p>
            <w:r>
              <w:rPr>
                <w:sz w:val="17"/>
              </w:rPr>
              <w:t>Late Delivery</w:t>
            </w:r>
          </w:p>
        </w:tc>
        <w:tc>
          <w:tcPr>
            <w:tcW w:type="dxa" w:w="3456"/>
            <w:vAlign w:val="center"/>
          </w:tcPr>
          <w:p>
            <w:r>
              <w:rPr>
                <w:sz w:val="17"/>
              </w:rPr>
              <w:t>54.81%</w:t>
            </w:r>
          </w:p>
        </w:tc>
        <w:tc>
          <w:tcPr>
            <w:tcW w:type="dxa" w:w="3456"/>
            <w:vAlign w:val="center"/>
          </w:tcPr>
          <w:p>
            <w:r>
              <w:rPr>
                <w:sz w:val="17"/>
              </w:rPr>
              <w:t>-1.1%</w:t>
            </w:r>
          </w:p>
        </w:tc>
      </w:tr>
    </w:tbl>
    <w:p/>
    <w:p>
      <w:r>
        <w:t>Figure 01 — Executive KPI chain: Customers +48.3% → Orders +4.8% → AOV -8.4% → Sales -4.0% → Profit -0.5% → Margin +3.7%.</w:t>
      </w:r>
    </w:p>
    <w:p>
      <w:pPr>
        <w:pStyle w:val="Heading1"/>
      </w:pPr>
      <w:r>
        <w:t>3. Customer Growth vs Revenue Value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F4E78"/>
            <w:vAlign w:val="center"/>
          </w:tcPr>
          <w:p>
            <w:r/>
            <w:r>
              <w:rPr>
                <w:b/>
                <w:color w:val="FFFFFF"/>
                <w:sz w:val="17"/>
              </w:rPr>
              <w:t>Metric</w:t>
            </w:r>
          </w:p>
        </w:tc>
        <w:tc>
          <w:tcPr>
            <w:tcW w:type="dxa" w:w="2592"/>
            <w:shd w:fill="1F4E78"/>
            <w:vAlign w:val="center"/>
          </w:tcPr>
          <w:p>
            <w:r/>
            <w:r>
              <w:rPr>
                <w:b/>
                <w:color w:val="FFFFFF"/>
                <w:sz w:val="17"/>
              </w:rPr>
              <w:t>2016</w:t>
            </w:r>
          </w:p>
        </w:tc>
        <w:tc>
          <w:tcPr>
            <w:tcW w:type="dxa" w:w="2592"/>
            <w:shd w:fill="1F4E78"/>
            <w:vAlign w:val="center"/>
          </w:tcPr>
          <w:p>
            <w:r/>
            <w:r>
              <w:rPr>
                <w:b/>
                <w:color w:val="FFFFFF"/>
                <w:sz w:val="17"/>
              </w:rPr>
              <w:t>2017</w:t>
            </w:r>
          </w:p>
        </w:tc>
        <w:tc>
          <w:tcPr>
            <w:tcW w:type="dxa" w:w="2592"/>
            <w:shd w:fill="1F4E78"/>
            <w:vAlign w:val="center"/>
          </w:tcPr>
          <w:p>
            <w:r/>
            <w:r>
              <w:rPr>
                <w:b/>
                <w:color w:val="FFFFFF"/>
                <w:sz w:val="17"/>
              </w:rPr>
              <w:t>Change</w:t>
            </w:r>
          </w:p>
        </w:tc>
      </w:tr>
      <w:tr>
        <w:tc>
          <w:tcPr>
            <w:tcW w:type="dxa" w:w="2592"/>
            <w:vAlign w:val="center"/>
          </w:tcPr>
          <w:p>
            <w:r>
              <w:rPr>
                <w:sz w:val="17"/>
              </w:rPr>
              <w:t>Customers</w:t>
            </w:r>
          </w:p>
        </w:tc>
        <w:tc>
          <w:tcPr>
            <w:tcW w:type="dxa" w:w="2592"/>
            <w:vAlign w:val="center"/>
          </w:tcPr>
          <w:p>
            <w:r>
              <w:rPr>
                <w:sz w:val="17"/>
              </w:rPr>
              <w:t>10,222</w:t>
            </w:r>
          </w:p>
        </w:tc>
        <w:tc>
          <w:tcPr>
            <w:tcW w:type="dxa" w:w="2592"/>
            <w:vAlign w:val="center"/>
          </w:tcPr>
          <w:p>
            <w:r>
              <w:rPr>
                <w:sz w:val="17"/>
              </w:rPr>
              <w:t>15,156</w:t>
            </w:r>
          </w:p>
        </w:tc>
        <w:tc>
          <w:tcPr>
            <w:tcW w:type="dxa" w:w="2592"/>
            <w:vAlign w:val="center"/>
          </w:tcPr>
          <w:p>
            <w:r>
              <w:rPr>
                <w:sz w:val="17"/>
              </w:rPr>
              <w:t>+4,934</w:t>
            </w:r>
          </w:p>
        </w:tc>
      </w:tr>
      <w:tr>
        <w:tc>
          <w:tcPr>
            <w:tcW w:type="dxa" w:w="2592"/>
            <w:vAlign w:val="center"/>
          </w:tcPr>
          <w:p>
            <w:r>
              <w:rPr>
                <w:sz w:val="17"/>
              </w:rPr>
              <w:t>Orders</w:t>
            </w:r>
          </w:p>
        </w:tc>
        <w:tc>
          <w:tcPr>
            <w:tcW w:type="dxa" w:w="2592"/>
            <w:vAlign w:val="center"/>
          </w:tcPr>
          <w:p>
            <w:r>
              <w:rPr>
                <w:sz w:val="17"/>
              </w:rPr>
              <w:t>20,859</w:t>
            </w:r>
          </w:p>
        </w:tc>
        <w:tc>
          <w:tcPr>
            <w:tcW w:type="dxa" w:w="2592"/>
            <w:vAlign w:val="center"/>
          </w:tcPr>
          <w:p>
            <w:r>
              <w:rPr>
                <w:sz w:val="17"/>
              </w:rPr>
              <w:t>21,866</w:t>
            </w:r>
          </w:p>
        </w:tc>
        <w:tc>
          <w:tcPr>
            <w:tcW w:type="dxa" w:w="2592"/>
            <w:vAlign w:val="center"/>
          </w:tcPr>
          <w:p>
            <w:r>
              <w:rPr>
                <w:sz w:val="17"/>
              </w:rPr>
              <w:t>+1,007</w:t>
            </w:r>
          </w:p>
        </w:tc>
      </w:tr>
      <w:tr>
        <w:tc>
          <w:tcPr>
            <w:tcW w:type="dxa" w:w="2592"/>
            <w:vAlign w:val="center"/>
          </w:tcPr>
          <w:p>
            <w:r>
              <w:rPr>
                <w:sz w:val="17"/>
              </w:rPr>
              <w:t>AOV</w:t>
            </w:r>
          </w:p>
        </w:tc>
        <w:tc>
          <w:tcPr>
            <w:tcW w:type="dxa" w:w="2592"/>
            <w:vAlign w:val="center"/>
          </w:tcPr>
          <w:p>
            <w:r>
              <w:rPr>
                <w:sz w:val="17"/>
              </w:rPr>
              <w:t>589.86</w:t>
            </w:r>
          </w:p>
        </w:tc>
        <w:tc>
          <w:tcPr>
            <w:tcW w:type="dxa" w:w="2592"/>
            <w:vAlign w:val="center"/>
          </w:tcPr>
          <w:p>
            <w:r>
              <w:rPr>
                <w:sz w:val="17"/>
              </w:rPr>
              <w:t>540.04</w:t>
            </w:r>
          </w:p>
        </w:tc>
        <w:tc>
          <w:tcPr>
            <w:tcW w:type="dxa" w:w="2592"/>
            <w:vAlign w:val="center"/>
          </w:tcPr>
          <w:p>
            <w:r>
              <w:rPr>
                <w:sz w:val="17"/>
              </w:rPr>
              <w:t>-49.82</w:t>
            </w:r>
          </w:p>
        </w:tc>
      </w:tr>
      <w:tr>
        <w:tc>
          <w:tcPr>
            <w:tcW w:type="dxa" w:w="2592"/>
            <w:vAlign w:val="center"/>
          </w:tcPr>
          <w:p>
            <w:r>
              <w:rPr>
                <w:sz w:val="17"/>
              </w:rPr>
              <w:t>Sales</w:t>
            </w:r>
          </w:p>
        </w:tc>
        <w:tc>
          <w:tcPr>
            <w:tcW w:type="dxa" w:w="2592"/>
            <w:vAlign w:val="center"/>
          </w:tcPr>
          <w:p>
            <w:r>
              <w:rPr>
                <w:sz w:val="17"/>
              </w:rPr>
              <w:t>12.30M</w:t>
            </w:r>
          </w:p>
        </w:tc>
        <w:tc>
          <w:tcPr>
            <w:tcW w:type="dxa" w:w="2592"/>
            <w:vAlign w:val="center"/>
          </w:tcPr>
          <w:p>
            <w:r>
              <w:rPr>
                <w:sz w:val="17"/>
              </w:rPr>
              <w:t>11.81M</w:t>
            </w:r>
          </w:p>
        </w:tc>
        <w:tc>
          <w:tcPr>
            <w:tcW w:type="dxa" w:w="2592"/>
            <w:vAlign w:val="center"/>
          </w:tcPr>
          <w:p>
            <w:r>
              <w:rPr>
                <w:sz w:val="17"/>
              </w:rPr>
              <w:t>-0.49M</w:t>
            </w:r>
          </w:p>
        </w:tc>
      </w:tr>
    </w:tbl>
    <w:p/>
    <w:p>
      <w:r>
        <w:t>Business insight: Customer count increased substantially in 2017, while order growth was smaller and AOV declined. The measured result was lower annual sales despite the larger customer base.</w:t>
      </w:r>
    </w:p>
    <w:p>
      <w:r>
        <w:t>Analytical implication: Customer growth should be evaluated together with customer productivity, orders and AOV rather than customer count alone.</w:t>
      </w:r>
    </w:p>
    <w:p>
      <w:pPr>
        <w:pStyle w:val="Heading1"/>
      </w:pPr>
      <w:r>
        <w:t>4. Profitability &amp; Margin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F4E78"/>
            <w:vAlign w:val="center"/>
          </w:tcPr>
          <w:p>
            <w:r/>
            <w:r>
              <w:rPr>
                <w:b/>
                <w:color w:val="FFFFFF"/>
                <w:sz w:val="17"/>
              </w:rPr>
              <w:t>Year</w:t>
            </w:r>
          </w:p>
        </w:tc>
        <w:tc>
          <w:tcPr>
            <w:tcW w:type="dxa" w:w="2592"/>
            <w:shd w:fill="1F4E78"/>
            <w:vAlign w:val="center"/>
          </w:tcPr>
          <w:p>
            <w:r/>
            <w:r>
              <w:rPr>
                <w:b/>
                <w:color w:val="FFFFFF"/>
                <w:sz w:val="17"/>
              </w:rPr>
              <w:t>Sales</w:t>
            </w:r>
          </w:p>
        </w:tc>
        <w:tc>
          <w:tcPr>
            <w:tcW w:type="dxa" w:w="2592"/>
            <w:shd w:fill="1F4E78"/>
            <w:vAlign w:val="center"/>
          </w:tcPr>
          <w:p>
            <w:r/>
            <w:r>
              <w:rPr>
                <w:b/>
                <w:color w:val="FFFFFF"/>
                <w:sz w:val="17"/>
              </w:rPr>
              <w:t>Profit</w:t>
            </w:r>
          </w:p>
        </w:tc>
        <w:tc>
          <w:tcPr>
            <w:tcW w:type="dxa" w:w="2592"/>
            <w:shd w:fill="1F4E78"/>
            <w:vAlign w:val="center"/>
          </w:tcPr>
          <w:p>
            <w:r/>
            <w:r>
              <w:rPr>
                <w:b/>
                <w:color w:val="FFFFFF"/>
                <w:sz w:val="17"/>
              </w:rPr>
              <w:t>Profit Margin</w:t>
            </w:r>
          </w:p>
        </w:tc>
      </w:tr>
      <w:tr>
        <w:tc>
          <w:tcPr>
            <w:tcW w:type="dxa" w:w="2592"/>
            <w:vAlign w:val="center"/>
          </w:tcPr>
          <w:p>
            <w:r>
              <w:rPr>
                <w:sz w:val="17"/>
              </w:rPr>
              <w:t>2015</w:t>
            </w:r>
          </w:p>
        </w:tc>
        <w:tc>
          <w:tcPr>
            <w:tcW w:type="dxa" w:w="2592"/>
            <w:vAlign w:val="center"/>
          </w:tcPr>
          <w:p>
            <w:r>
              <w:rPr>
                <w:sz w:val="17"/>
              </w:rPr>
              <w:t>12.34M</w:t>
            </w:r>
          </w:p>
        </w:tc>
        <w:tc>
          <w:tcPr>
            <w:tcW w:type="dxa" w:w="2592"/>
            <w:vAlign w:val="center"/>
          </w:tcPr>
          <w:p>
            <w:r>
              <w:rPr>
                <w:sz w:val="17"/>
              </w:rPr>
              <w:t>1.32M</w:t>
            </w:r>
          </w:p>
        </w:tc>
        <w:tc>
          <w:tcPr>
            <w:tcW w:type="dxa" w:w="2592"/>
            <w:vAlign w:val="center"/>
          </w:tcPr>
          <w:p>
            <w:r>
              <w:rPr>
                <w:sz w:val="17"/>
              </w:rPr>
              <w:t>10.69%</w:t>
            </w:r>
          </w:p>
        </w:tc>
      </w:tr>
      <w:tr>
        <w:tc>
          <w:tcPr>
            <w:tcW w:type="dxa" w:w="2592"/>
            <w:vAlign w:val="center"/>
          </w:tcPr>
          <w:p>
            <w:r>
              <w:rPr>
                <w:sz w:val="17"/>
              </w:rPr>
              <w:t>2016</w:t>
            </w:r>
          </w:p>
        </w:tc>
        <w:tc>
          <w:tcPr>
            <w:tcW w:type="dxa" w:w="2592"/>
            <w:vAlign w:val="center"/>
          </w:tcPr>
          <w:p>
            <w:r>
              <w:rPr>
                <w:sz w:val="17"/>
              </w:rPr>
              <w:t>12.30M</w:t>
            </w:r>
          </w:p>
        </w:tc>
        <w:tc>
          <w:tcPr>
            <w:tcW w:type="dxa" w:w="2592"/>
            <w:vAlign w:val="center"/>
          </w:tcPr>
          <w:p>
            <w:r>
              <w:rPr>
                <w:sz w:val="17"/>
              </w:rPr>
              <w:t>1.31M</w:t>
            </w:r>
          </w:p>
        </w:tc>
        <w:tc>
          <w:tcPr>
            <w:tcW w:type="dxa" w:w="2592"/>
            <w:vAlign w:val="center"/>
          </w:tcPr>
          <w:p>
            <w:r>
              <w:rPr>
                <w:sz w:val="17"/>
              </w:rPr>
              <w:t>10.65%</w:t>
            </w:r>
          </w:p>
        </w:tc>
      </w:tr>
      <w:tr>
        <w:tc>
          <w:tcPr>
            <w:tcW w:type="dxa" w:w="2592"/>
            <w:vAlign w:val="center"/>
          </w:tcPr>
          <w:p>
            <w:r>
              <w:rPr>
                <w:sz w:val="17"/>
              </w:rPr>
              <w:t>2017</w:t>
            </w:r>
          </w:p>
        </w:tc>
        <w:tc>
          <w:tcPr>
            <w:tcW w:type="dxa" w:w="2592"/>
            <w:vAlign w:val="center"/>
          </w:tcPr>
          <w:p>
            <w:r>
              <w:rPr>
                <w:sz w:val="17"/>
              </w:rPr>
              <w:t>11.81M</w:t>
            </w:r>
          </w:p>
        </w:tc>
        <w:tc>
          <w:tcPr>
            <w:tcW w:type="dxa" w:w="2592"/>
            <w:vAlign w:val="center"/>
          </w:tcPr>
          <w:p>
            <w:r>
              <w:rPr>
                <w:sz w:val="17"/>
              </w:rPr>
              <w:t>1.30M</w:t>
            </w:r>
          </w:p>
        </w:tc>
        <w:tc>
          <w:tcPr>
            <w:tcW w:type="dxa" w:w="2592"/>
            <w:vAlign w:val="center"/>
          </w:tcPr>
          <w:p>
            <w:r>
              <w:rPr>
                <w:sz w:val="17"/>
              </w:rPr>
              <w:t>11.04%</w:t>
            </w:r>
          </w:p>
        </w:tc>
      </w:tr>
    </w:tbl>
    <w:p/>
    <w:p>
      <w:r>
        <w:t>Business insight: Absolute profit remained broadly stable while profit margin improved from 10.65% in 2016 to 11.04% in 2017.</w:t>
      </w:r>
    </w:p>
    <w:p>
      <w:pPr>
        <w:pStyle w:val="Heading2"/>
      </w:pPr>
      <w:r>
        <w:t>Loss-Making Customer Profit Impact</w:t>
      </w:r>
    </w:p>
    <w:tbl>
      <w:tblPr>
        <w:tblStyle w:val="TableGrid"/>
        <w:tblW w:type="auto" w:w="0"/>
        <w:jc w:val="center"/>
        <w:tblLook w:firstColumn="1" w:firstRow="1" w:lastColumn="0" w:lastRow="0" w:noHBand="0" w:noVBand="1" w:val="04A0"/>
      </w:tblPr>
      <w:tblGrid>
        <w:gridCol w:w="5184"/>
        <w:gridCol w:w="5184"/>
      </w:tblGrid>
      <w:tr>
        <w:tc>
          <w:tcPr>
            <w:tcW w:type="dxa" w:w="5184"/>
            <w:shd w:fill="1F4E78"/>
            <w:vAlign w:val="center"/>
          </w:tcPr>
          <w:p>
            <w:r/>
            <w:r>
              <w:rPr>
                <w:b/>
                <w:color w:val="FFFFFF"/>
                <w:sz w:val="17"/>
              </w:rPr>
              <w:t>Customer Segment</w:t>
            </w:r>
          </w:p>
        </w:tc>
        <w:tc>
          <w:tcPr>
            <w:tcW w:type="dxa" w:w="5184"/>
            <w:shd w:fill="1F4E78"/>
            <w:vAlign w:val="center"/>
          </w:tcPr>
          <w:p>
            <w:r/>
            <w:r>
              <w:rPr>
                <w:b/>
                <w:color w:val="FFFFFF"/>
                <w:sz w:val="17"/>
              </w:rPr>
              <w:t>Profit from Loss-Making Customers</w:t>
            </w:r>
          </w:p>
        </w:tc>
      </w:tr>
      <w:tr>
        <w:tc>
          <w:tcPr>
            <w:tcW w:type="dxa" w:w="5184"/>
            <w:vAlign w:val="center"/>
          </w:tcPr>
          <w:p>
            <w:r>
              <w:rPr>
                <w:sz w:val="17"/>
              </w:rPr>
              <w:t>Consumer</w:t>
            </w:r>
          </w:p>
        </w:tc>
        <w:tc>
          <w:tcPr>
            <w:tcW w:type="dxa" w:w="5184"/>
            <w:vAlign w:val="center"/>
          </w:tcPr>
          <w:p>
            <w:r>
              <w:rPr>
                <w:sz w:val="17"/>
              </w:rPr>
              <w:t>-0.53M</w:t>
            </w:r>
          </w:p>
        </w:tc>
      </w:tr>
      <w:tr>
        <w:tc>
          <w:tcPr>
            <w:tcW w:type="dxa" w:w="5184"/>
            <w:vAlign w:val="center"/>
          </w:tcPr>
          <w:p>
            <w:r>
              <w:rPr>
                <w:sz w:val="17"/>
              </w:rPr>
              <w:t>Corporate</w:t>
            </w:r>
          </w:p>
        </w:tc>
        <w:tc>
          <w:tcPr>
            <w:tcW w:type="dxa" w:w="5184"/>
            <w:vAlign w:val="center"/>
          </w:tcPr>
          <w:p>
            <w:r>
              <w:rPr>
                <w:sz w:val="17"/>
              </w:rPr>
              <w:t>-0.32M</w:t>
            </w:r>
          </w:p>
        </w:tc>
      </w:tr>
      <w:tr>
        <w:tc>
          <w:tcPr>
            <w:tcW w:type="dxa" w:w="5184"/>
            <w:vAlign w:val="center"/>
          </w:tcPr>
          <w:p>
            <w:r>
              <w:rPr>
                <w:sz w:val="17"/>
              </w:rPr>
              <w:t>Home Office</w:t>
            </w:r>
          </w:p>
        </w:tc>
        <w:tc>
          <w:tcPr>
            <w:tcW w:type="dxa" w:w="5184"/>
            <w:vAlign w:val="center"/>
          </w:tcPr>
          <w:p>
            <w:r>
              <w:rPr>
                <w:sz w:val="17"/>
              </w:rPr>
              <w:t>-0.20M</w:t>
            </w:r>
          </w:p>
        </w:tc>
      </w:tr>
    </w:tbl>
    <w:p/>
    <w:p>
      <w:r>
        <w:t>Business insight: Loss-making customer impact is present across all three segments, with the largest absolute impact in Consumer.</w:t>
      </w:r>
    </w:p>
    <w:p>
      <w:pPr>
        <w:pStyle w:val="Heading1"/>
      </w:pPr>
      <w:r>
        <w:t>5. Delivery Performance</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1F4E78"/>
            <w:vAlign w:val="center"/>
          </w:tcPr>
          <w:p>
            <w:r/>
            <w:r>
              <w:rPr>
                <w:b/>
                <w:color w:val="FFFFFF"/>
                <w:sz w:val="17"/>
              </w:rPr>
              <w:t>Shipping Mode</w:t>
            </w:r>
          </w:p>
        </w:tc>
        <w:tc>
          <w:tcPr>
            <w:tcW w:type="dxa" w:w="2074"/>
            <w:shd w:fill="1F4E78"/>
            <w:vAlign w:val="center"/>
          </w:tcPr>
          <w:p>
            <w:r/>
            <w:r>
              <w:rPr>
                <w:b/>
                <w:color w:val="FFFFFF"/>
                <w:sz w:val="17"/>
              </w:rPr>
              <w:t>Late Delivery</w:t>
            </w:r>
          </w:p>
        </w:tc>
        <w:tc>
          <w:tcPr>
            <w:tcW w:type="dxa" w:w="2074"/>
            <w:shd w:fill="1F4E78"/>
            <w:vAlign w:val="center"/>
          </w:tcPr>
          <w:p>
            <w:r/>
            <w:r>
              <w:rPr>
                <w:b/>
                <w:color w:val="FFFFFF"/>
                <w:sz w:val="17"/>
              </w:rPr>
              <w:t>Scheduled Days</w:t>
            </w:r>
          </w:p>
        </w:tc>
        <w:tc>
          <w:tcPr>
            <w:tcW w:type="dxa" w:w="2074"/>
            <w:shd w:fill="1F4E78"/>
            <w:vAlign w:val="center"/>
          </w:tcPr>
          <w:p>
            <w:r/>
            <w:r>
              <w:rPr>
                <w:b/>
                <w:color w:val="FFFFFF"/>
                <w:sz w:val="17"/>
              </w:rPr>
              <w:t>Actual Days</w:t>
            </w:r>
          </w:p>
        </w:tc>
        <w:tc>
          <w:tcPr>
            <w:tcW w:type="dxa" w:w="2074"/>
            <w:shd w:fill="1F4E78"/>
            <w:vAlign w:val="center"/>
          </w:tcPr>
          <w:p>
            <w:r/>
            <w:r>
              <w:rPr>
                <w:b/>
                <w:color w:val="FFFFFF"/>
                <w:sz w:val="17"/>
              </w:rPr>
              <w:t>Gap</w:t>
            </w:r>
          </w:p>
        </w:tc>
      </w:tr>
      <w:tr>
        <w:tc>
          <w:tcPr>
            <w:tcW w:type="dxa" w:w="2074"/>
            <w:vAlign w:val="center"/>
          </w:tcPr>
          <w:p>
            <w:r>
              <w:rPr>
                <w:sz w:val="17"/>
              </w:rPr>
              <w:t>First Class</w:t>
            </w:r>
          </w:p>
        </w:tc>
        <w:tc>
          <w:tcPr>
            <w:tcW w:type="dxa" w:w="2074"/>
            <w:vAlign w:val="center"/>
          </w:tcPr>
          <w:p>
            <w:r>
              <w:rPr>
                <w:sz w:val="17"/>
              </w:rPr>
              <w:t>95.18%</w:t>
            </w:r>
          </w:p>
        </w:tc>
        <w:tc>
          <w:tcPr>
            <w:tcW w:type="dxa" w:w="2074"/>
            <w:vAlign w:val="center"/>
          </w:tcPr>
          <w:p>
            <w:r>
              <w:rPr>
                <w:sz w:val="17"/>
              </w:rPr>
              <w:t>1</w:t>
            </w:r>
          </w:p>
        </w:tc>
        <w:tc>
          <w:tcPr>
            <w:tcW w:type="dxa" w:w="2074"/>
            <w:vAlign w:val="center"/>
          </w:tcPr>
          <w:p>
            <w:r>
              <w:rPr>
                <w:sz w:val="17"/>
              </w:rPr>
              <w:t>~2</w:t>
            </w:r>
          </w:p>
        </w:tc>
        <w:tc>
          <w:tcPr>
            <w:tcW w:type="dxa" w:w="2074"/>
            <w:vAlign w:val="center"/>
          </w:tcPr>
          <w:p>
            <w:r>
              <w:rPr>
                <w:sz w:val="17"/>
              </w:rPr>
              <w:t>+1</w:t>
            </w:r>
          </w:p>
        </w:tc>
      </w:tr>
      <w:tr>
        <w:tc>
          <w:tcPr>
            <w:tcW w:type="dxa" w:w="2074"/>
            <w:vAlign w:val="center"/>
          </w:tcPr>
          <w:p>
            <w:r>
              <w:rPr>
                <w:sz w:val="17"/>
              </w:rPr>
              <w:t>Second Class</w:t>
            </w:r>
          </w:p>
        </w:tc>
        <w:tc>
          <w:tcPr>
            <w:tcW w:type="dxa" w:w="2074"/>
            <w:vAlign w:val="center"/>
          </w:tcPr>
          <w:p>
            <w:r>
              <w:rPr>
                <w:sz w:val="17"/>
              </w:rPr>
              <w:t>76.70%</w:t>
            </w:r>
          </w:p>
        </w:tc>
        <w:tc>
          <w:tcPr>
            <w:tcW w:type="dxa" w:w="2074"/>
            <w:vAlign w:val="center"/>
          </w:tcPr>
          <w:p>
            <w:r>
              <w:rPr>
                <w:sz w:val="17"/>
              </w:rPr>
              <w:t>2</w:t>
            </w:r>
          </w:p>
        </w:tc>
        <w:tc>
          <w:tcPr>
            <w:tcW w:type="dxa" w:w="2074"/>
            <w:vAlign w:val="center"/>
          </w:tcPr>
          <w:p>
            <w:r>
              <w:rPr>
                <w:sz w:val="17"/>
              </w:rPr>
              <w:t>~4</w:t>
            </w:r>
          </w:p>
        </w:tc>
        <w:tc>
          <w:tcPr>
            <w:tcW w:type="dxa" w:w="2074"/>
            <w:vAlign w:val="center"/>
          </w:tcPr>
          <w:p>
            <w:r>
              <w:rPr>
                <w:sz w:val="17"/>
              </w:rPr>
              <w:t>~+2</w:t>
            </w:r>
          </w:p>
        </w:tc>
      </w:tr>
      <w:tr>
        <w:tc>
          <w:tcPr>
            <w:tcW w:type="dxa" w:w="2074"/>
            <w:vAlign w:val="center"/>
          </w:tcPr>
          <w:p>
            <w:r>
              <w:rPr>
                <w:sz w:val="17"/>
              </w:rPr>
              <w:t>Same Day</w:t>
            </w:r>
          </w:p>
        </w:tc>
        <w:tc>
          <w:tcPr>
            <w:tcW w:type="dxa" w:w="2074"/>
            <w:vAlign w:val="center"/>
          </w:tcPr>
          <w:p>
            <w:r>
              <w:rPr>
                <w:sz w:val="17"/>
              </w:rPr>
              <w:t>46.31%</w:t>
            </w:r>
          </w:p>
        </w:tc>
        <w:tc>
          <w:tcPr>
            <w:tcW w:type="dxa" w:w="2074"/>
            <w:vAlign w:val="center"/>
          </w:tcPr>
          <w:p>
            <w:r>
              <w:rPr>
                <w:sz w:val="17"/>
              </w:rPr>
              <w:t>0</w:t>
            </w:r>
          </w:p>
        </w:tc>
        <w:tc>
          <w:tcPr>
            <w:tcW w:type="dxa" w:w="2074"/>
            <w:vAlign w:val="center"/>
          </w:tcPr>
          <w:p>
            <w:r>
              <w:rPr>
                <w:sz w:val="17"/>
              </w:rPr>
              <w:t>~0.5</w:t>
            </w:r>
          </w:p>
        </w:tc>
        <w:tc>
          <w:tcPr>
            <w:tcW w:type="dxa" w:w="2074"/>
            <w:vAlign w:val="center"/>
          </w:tcPr>
          <w:p>
            <w:r>
              <w:rPr>
                <w:sz w:val="17"/>
              </w:rPr>
              <w:t>~+0.5</w:t>
            </w:r>
          </w:p>
        </w:tc>
      </w:tr>
      <w:tr>
        <w:tc>
          <w:tcPr>
            <w:tcW w:type="dxa" w:w="2074"/>
            <w:vAlign w:val="center"/>
          </w:tcPr>
          <w:p>
            <w:r>
              <w:rPr>
                <w:sz w:val="17"/>
              </w:rPr>
              <w:t>Standard Class</w:t>
            </w:r>
          </w:p>
        </w:tc>
        <w:tc>
          <w:tcPr>
            <w:tcW w:type="dxa" w:w="2074"/>
            <w:vAlign w:val="center"/>
          </w:tcPr>
          <w:p>
            <w:r>
              <w:rPr>
                <w:sz w:val="17"/>
              </w:rPr>
              <w:t>38.10%</w:t>
            </w:r>
          </w:p>
        </w:tc>
        <w:tc>
          <w:tcPr>
            <w:tcW w:type="dxa" w:w="2074"/>
            <w:vAlign w:val="center"/>
          </w:tcPr>
          <w:p>
            <w:r>
              <w:rPr>
                <w:sz w:val="17"/>
              </w:rPr>
              <w:t>4</w:t>
            </w:r>
          </w:p>
        </w:tc>
        <w:tc>
          <w:tcPr>
            <w:tcW w:type="dxa" w:w="2074"/>
            <w:vAlign w:val="center"/>
          </w:tcPr>
          <w:p>
            <w:r>
              <w:rPr>
                <w:sz w:val="17"/>
              </w:rPr>
              <w:t>~4</w:t>
            </w:r>
          </w:p>
        </w:tc>
        <w:tc>
          <w:tcPr>
            <w:tcW w:type="dxa" w:w="2074"/>
            <w:vAlign w:val="center"/>
          </w:tcPr>
          <w:p>
            <w:r>
              <w:rPr>
                <w:sz w:val="17"/>
              </w:rPr>
              <w:t>~0</w:t>
            </w:r>
          </w:p>
        </w:tc>
      </w:tr>
    </w:tbl>
    <w:p/>
    <w:p>
      <w:r>
        <w:t>Overall Late Delivery: 54.81%.</w:t>
      </w:r>
    </w:p>
    <w:p>
      <w:r>
        <w:t>Business insight: Delivery performance varies materially by shipping mode. First Class and Second Class show the clearest schedule-to-execution gaps in the recorded analysis.</w:t>
      </w:r>
    </w:p>
    <w:p>
      <w:r>
        <w:t>Action area: Review shipping-mode scheduling, carrier/process execution and exception patterns before changing service expectations.</w:t>
      </w:r>
    </w:p>
    <w:p>
      <w:pPr>
        <w:pStyle w:val="Heading1"/>
      </w:pPr>
      <w:r>
        <w:t>6. Market &amp; Segment Insights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F4E78"/>
            <w:vAlign w:val="center"/>
          </w:tcPr>
          <w:p>
            <w:r/>
            <w:r>
              <w:rPr>
                <w:b/>
                <w:color w:val="FFFFFF"/>
                <w:sz w:val="17"/>
              </w:rPr>
              <w:t>Market</w:t>
            </w:r>
          </w:p>
        </w:tc>
        <w:tc>
          <w:tcPr>
            <w:tcW w:type="dxa" w:w="2592"/>
            <w:shd w:fill="1F4E78"/>
            <w:vAlign w:val="center"/>
          </w:tcPr>
          <w:p>
            <w:r/>
            <w:r>
              <w:rPr>
                <w:b/>
                <w:color w:val="FFFFFF"/>
                <w:sz w:val="17"/>
              </w:rPr>
              <w:t>Sales</w:t>
            </w:r>
          </w:p>
        </w:tc>
        <w:tc>
          <w:tcPr>
            <w:tcW w:type="dxa" w:w="2592"/>
            <w:shd w:fill="1F4E78"/>
            <w:vAlign w:val="center"/>
          </w:tcPr>
          <w:p>
            <w:r/>
            <w:r>
              <w:rPr>
                <w:b/>
                <w:color w:val="FFFFFF"/>
                <w:sz w:val="17"/>
              </w:rPr>
              <w:t>Profit</w:t>
            </w:r>
          </w:p>
        </w:tc>
        <w:tc>
          <w:tcPr>
            <w:tcW w:type="dxa" w:w="2592"/>
            <w:shd w:fill="1F4E78"/>
            <w:vAlign w:val="center"/>
          </w:tcPr>
          <w:p>
            <w:r/>
            <w:r>
              <w:rPr>
                <w:b/>
                <w:color w:val="FFFFFF"/>
                <w:sz w:val="17"/>
              </w:rPr>
              <w:t>Margin</w:t>
            </w:r>
          </w:p>
        </w:tc>
      </w:tr>
      <w:tr>
        <w:tc>
          <w:tcPr>
            <w:tcW w:type="dxa" w:w="2592"/>
            <w:vAlign w:val="center"/>
          </w:tcPr>
          <w:p>
            <w:r>
              <w:rPr>
                <w:sz w:val="17"/>
              </w:rPr>
              <w:t>Europe</w:t>
            </w:r>
          </w:p>
        </w:tc>
        <w:tc>
          <w:tcPr>
            <w:tcW w:type="dxa" w:w="2592"/>
            <w:vAlign w:val="center"/>
          </w:tcPr>
          <w:p>
            <w:r>
              <w:rPr>
                <w:sz w:val="17"/>
              </w:rPr>
              <w:t>10.87M</w:t>
            </w:r>
          </w:p>
        </w:tc>
        <w:tc>
          <w:tcPr>
            <w:tcW w:type="dxa" w:w="2592"/>
            <w:vAlign w:val="center"/>
          </w:tcPr>
          <w:p>
            <w:r>
              <w:rPr>
                <w:sz w:val="17"/>
              </w:rPr>
              <w:t>1.17M</w:t>
            </w:r>
          </w:p>
        </w:tc>
        <w:tc>
          <w:tcPr>
            <w:tcW w:type="dxa" w:w="2592"/>
            <w:vAlign w:val="center"/>
          </w:tcPr>
          <w:p>
            <w:r>
              <w:rPr>
                <w:sz w:val="17"/>
              </w:rPr>
              <w:t>10.76%</w:t>
            </w:r>
          </w:p>
        </w:tc>
      </w:tr>
      <w:tr>
        <w:tc>
          <w:tcPr>
            <w:tcW w:type="dxa" w:w="2592"/>
            <w:vAlign w:val="center"/>
          </w:tcPr>
          <w:p>
            <w:r>
              <w:rPr>
                <w:sz w:val="17"/>
              </w:rPr>
              <w:t>LATAM</w:t>
            </w:r>
          </w:p>
        </w:tc>
        <w:tc>
          <w:tcPr>
            <w:tcW w:type="dxa" w:w="2592"/>
            <w:vAlign w:val="center"/>
          </w:tcPr>
          <w:p>
            <w:r>
              <w:rPr>
                <w:sz w:val="17"/>
              </w:rPr>
              <w:t>10.28M</w:t>
            </w:r>
          </w:p>
        </w:tc>
        <w:tc>
          <w:tcPr>
            <w:tcW w:type="dxa" w:w="2592"/>
            <w:vAlign w:val="center"/>
          </w:tcPr>
          <w:p>
            <w:r>
              <w:rPr>
                <w:sz w:val="17"/>
              </w:rPr>
              <w:t>1.12M</w:t>
            </w:r>
          </w:p>
        </w:tc>
        <w:tc>
          <w:tcPr>
            <w:tcW w:type="dxa" w:w="2592"/>
            <w:vAlign w:val="center"/>
          </w:tcPr>
          <w:p>
            <w:r>
              <w:rPr>
                <w:sz w:val="17"/>
              </w:rPr>
              <w:t>10.93%</w:t>
            </w:r>
          </w:p>
        </w:tc>
      </w:tr>
      <w:tr>
        <w:tc>
          <w:tcPr>
            <w:tcW w:type="dxa" w:w="2592"/>
            <w:vAlign w:val="center"/>
          </w:tcPr>
          <w:p>
            <w:r>
              <w:rPr>
                <w:sz w:val="17"/>
              </w:rPr>
              <w:t>Pacific Asia</w:t>
            </w:r>
          </w:p>
        </w:tc>
        <w:tc>
          <w:tcPr>
            <w:tcW w:type="dxa" w:w="2592"/>
            <w:vAlign w:val="center"/>
          </w:tcPr>
          <w:p>
            <w:r>
              <w:rPr>
                <w:sz w:val="17"/>
              </w:rPr>
              <w:t>7.94M</w:t>
            </w:r>
          </w:p>
        </w:tc>
        <w:tc>
          <w:tcPr>
            <w:tcW w:type="dxa" w:w="2592"/>
            <w:vAlign w:val="center"/>
          </w:tcPr>
          <w:p>
            <w:r>
              <w:rPr>
                <w:sz w:val="17"/>
              </w:rPr>
              <w:t>0.82M</w:t>
            </w:r>
          </w:p>
        </w:tc>
        <w:tc>
          <w:tcPr>
            <w:tcW w:type="dxa" w:w="2592"/>
            <w:vAlign w:val="center"/>
          </w:tcPr>
          <w:p>
            <w:r>
              <w:rPr>
                <w:sz w:val="17"/>
              </w:rPr>
              <w:t>10.37%</w:t>
            </w:r>
          </w:p>
        </w:tc>
      </w:tr>
      <w:tr>
        <w:tc>
          <w:tcPr>
            <w:tcW w:type="dxa" w:w="2592"/>
            <w:vAlign w:val="center"/>
          </w:tcPr>
          <w:p>
            <w:r>
              <w:rPr>
                <w:sz w:val="17"/>
              </w:rPr>
              <w:t>USCA</w:t>
            </w:r>
          </w:p>
        </w:tc>
        <w:tc>
          <w:tcPr>
            <w:tcW w:type="dxa" w:w="2592"/>
            <w:vAlign w:val="center"/>
          </w:tcPr>
          <w:p>
            <w:r>
              <w:rPr>
                <w:sz w:val="17"/>
              </w:rPr>
              <w:t>5.07M</w:t>
            </w:r>
          </w:p>
        </w:tc>
        <w:tc>
          <w:tcPr>
            <w:tcW w:type="dxa" w:w="2592"/>
            <w:vAlign w:val="center"/>
          </w:tcPr>
          <w:p>
            <w:r>
              <w:rPr>
                <w:sz w:val="17"/>
              </w:rPr>
              <w:t>0.56M</w:t>
            </w:r>
          </w:p>
        </w:tc>
        <w:tc>
          <w:tcPr>
            <w:tcW w:type="dxa" w:w="2592"/>
            <w:vAlign w:val="center"/>
          </w:tcPr>
          <w:p>
            <w:r>
              <w:rPr>
                <w:sz w:val="17"/>
              </w:rPr>
              <w:t>11.14%</w:t>
            </w:r>
          </w:p>
        </w:tc>
      </w:tr>
      <w:tr>
        <w:tc>
          <w:tcPr>
            <w:tcW w:type="dxa" w:w="2592"/>
            <w:vAlign w:val="center"/>
          </w:tcPr>
          <w:p>
            <w:r>
              <w:rPr>
                <w:sz w:val="17"/>
              </w:rPr>
              <w:t>Africa</w:t>
            </w:r>
          </w:p>
        </w:tc>
        <w:tc>
          <w:tcPr>
            <w:tcW w:type="dxa" w:w="2592"/>
            <w:vAlign w:val="center"/>
          </w:tcPr>
          <w:p>
            <w:r>
              <w:rPr>
                <w:sz w:val="17"/>
              </w:rPr>
              <w:t>2.29M</w:t>
            </w:r>
          </w:p>
        </w:tc>
        <w:tc>
          <w:tcPr>
            <w:tcW w:type="dxa" w:w="2592"/>
            <w:vAlign w:val="center"/>
          </w:tcPr>
          <w:p>
            <w:r>
              <w:rPr>
                <w:sz w:val="17"/>
              </w:rPr>
              <w:t>0.25M</w:t>
            </w:r>
          </w:p>
        </w:tc>
        <w:tc>
          <w:tcPr>
            <w:tcW w:type="dxa" w:w="2592"/>
            <w:vAlign w:val="center"/>
          </w:tcPr>
          <w:p>
            <w:r>
              <w:rPr>
                <w:sz w:val="17"/>
              </w:rPr>
              <w:t>10.99%</w:t>
            </w:r>
          </w:p>
        </w:tc>
      </w:tr>
    </w:tbl>
    <w:p/>
    <w:p>
      <w:r>
        <w:t>Business insight: Europe and LATAM represent the largest sales volumes in the recorded market analysis. Market-level margins remain relatively close, approximately 10–11%.</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F4E78"/>
            <w:vAlign w:val="center"/>
          </w:tcPr>
          <w:p>
            <w:r/>
            <w:r>
              <w:rPr>
                <w:b/>
                <w:color w:val="FFFFFF"/>
                <w:sz w:val="17"/>
              </w:rPr>
              <w:t>Customer Segment</w:t>
            </w:r>
          </w:p>
        </w:tc>
        <w:tc>
          <w:tcPr>
            <w:tcW w:type="dxa" w:w="2592"/>
            <w:shd w:fill="1F4E78"/>
            <w:vAlign w:val="center"/>
          </w:tcPr>
          <w:p>
            <w:r/>
            <w:r>
              <w:rPr>
                <w:b/>
                <w:color w:val="FFFFFF"/>
                <w:sz w:val="17"/>
              </w:rPr>
              <w:t>Sales</w:t>
            </w:r>
          </w:p>
        </w:tc>
        <w:tc>
          <w:tcPr>
            <w:tcW w:type="dxa" w:w="2592"/>
            <w:shd w:fill="1F4E78"/>
            <w:vAlign w:val="center"/>
          </w:tcPr>
          <w:p>
            <w:r/>
            <w:r>
              <w:rPr>
                <w:b/>
                <w:color w:val="FFFFFF"/>
                <w:sz w:val="17"/>
              </w:rPr>
              <w:t>Profit</w:t>
            </w:r>
          </w:p>
        </w:tc>
        <w:tc>
          <w:tcPr>
            <w:tcW w:type="dxa" w:w="2592"/>
            <w:shd w:fill="1F4E78"/>
            <w:vAlign w:val="center"/>
          </w:tcPr>
          <w:p>
            <w:r/>
            <w:r>
              <w:rPr>
                <w:b/>
                <w:color w:val="FFFFFF"/>
                <w:sz w:val="17"/>
              </w:rPr>
              <w:t>Margin</w:t>
            </w:r>
          </w:p>
        </w:tc>
      </w:tr>
      <w:tr>
        <w:tc>
          <w:tcPr>
            <w:tcW w:type="dxa" w:w="2592"/>
            <w:vAlign w:val="center"/>
          </w:tcPr>
          <w:p>
            <w:r>
              <w:rPr>
                <w:sz w:val="17"/>
              </w:rPr>
              <w:t>Consumer</w:t>
            </w:r>
          </w:p>
        </w:tc>
        <w:tc>
          <w:tcPr>
            <w:tcW w:type="dxa" w:w="2592"/>
            <w:vAlign w:val="center"/>
          </w:tcPr>
          <w:p>
            <w:r>
              <w:rPr>
                <w:sz w:val="17"/>
              </w:rPr>
              <w:t>18.93M</w:t>
            </w:r>
          </w:p>
        </w:tc>
        <w:tc>
          <w:tcPr>
            <w:tcW w:type="dxa" w:w="2592"/>
            <w:vAlign w:val="center"/>
          </w:tcPr>
          <w:p>
            <w:r>
              <w:rPr>
                <w:sz w:val="17"/>
              </w:rPr>
              <w:t>2.06M</w:t>
            </w:r>
          </w:p>
        </w:tc>
        <w:tc>
          <w:tcPr>
            <w:tcW w:type="dxa" w:w="2592"/>
            <w:vAlign w:val="center"/>
          </w:tcPr>
          <w:p>
            <w:r>
              <w:rPr>
                <w:sz w:val="17"/>
              </w:rPr>
              <w:t>10.89%</w:t>
            </w:r>
          </w:p>
        </w:tc>
      </w:tr>
      <w:tr>
        <w:tc>
          <w:tcPr>
            <w:tcW w:type="dxa" w:w="2592"/>
            <w:vAlign w:val="center"/>
          </w:tcPr>
          <w:p>
            <w:r>
              <w:rPr>
                <w:sz w:val="17"/>
              </w:rPr>
              <w:t>Corporate</w:t>
            </w:r>
          </w:p>
        </w:tc>
        <w:tc>
          <w:tcPr>
            <w:tcW w:type="dxa" w:w="2592"/>
            <w:vAlign w:val="center"/>
          </w:tcPr>
          <w:p>
            <w:r>
              <w:rPr>
                <w:sz w:val="17"/>
              </w:rPr>
              <w:t>11.06M</w:t>
            </w:r>
          </w:p>
        </w:tc>
        <w:tc>
          <w:tcPr>
            <w:tcW w:type="dxa" w:w="2592"/>
            <w:vAlign w:val="center"/>
          </w:tcPr>
          <w:p>
            <w:r>
              <w:rPr>
                <w:sz w:val="17"/>
              </w:rPr>
              <w:t>1.19M</w:t>
            </w:r>
          </w:p>
        </w:tc>
        <w:tc>
          <w:tcPr>
            <w:tcW w:type="dxa" w:w="2592"/>
            <w:vAlign w:val="center"/>
          </w:tcPr>
          <w:p>
            <w:r>
              <w:rPr>
                <w:sz w:val="17"/>
              </w:rPr>
              <w:t>10.76%</w:t>
            </w:r>
          </w:p>
        </w:tc>
      </w:tr>
      <w:tr>
        <w:tc>
          <w:tcPr>
            <w:tcW w:type="dxa" w:w="2592"/>
            <w:vAlign w:val="center"/>
          </w:tcPr>
          <w:p>
            <w:r>
              <w:rPr>
                <w:sz w:val="17"/>
              </w:rPr>
              <w:t>Home Office</w:t>
            </w:r>
          </w:p>
        </w:tc>
        <w:tc>
          <w:tcPr>
            <w:tcW w:type="dxa" w:w="2592"/>
            <w:vAlign w:val="center"/>
          </w:tcPr>
          <w:p>
            <w:r>
              <w:rPr>
                <w:sz w:val="17"/>
              </w:rPr>
              <w:t>6.46M</w:t>
            </w:r>
          </w:p>
        </w:tc>
        <w:tc>
          <w:tcPr>
            <w:tcW w:type="dxa" w:w="2592"/>
            <w:vAlign w:val="center"/>
          </w:tcPr>
          <w:p>
            <w:r>
              <w:rPr>
                <w:sz w:val="17"/>
              </w:rPr>
              <w:t>0.68M</w:t>
            </w:r>
          </w:p>
        </w:tc>
        <w:tc>
          <w:tcPr>
            <w:tcW w:type="dxa" w:w="2592"/>
            <w:vAlign w:val="center"/>
          </w:tcPr>
          <w:p>
            <w:r>
              <w:rPr>
                <w:sz w:val="17"/>
              </w:rPr>
              <w:t>10.55%</w:t>
            </w:r>
          </w:p>
        </w:tc>
      </w:tr>
    </w:tbl>
    <w:p/>
    <w:p>
      <w:r>
        <w:t>Business insight: Consumer is the largest customer segment by sales and profit contribution.</w:t>
      </w:r>
    </w:p>
    <w:p>
      <w:pPr>
        <w:pStyle w:val="Heading1"/>
      </w:pPr>
      <w:r>
        <w:t>7. Product &amp; Category Insights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8"/>
            <w:vAlign w:val="center"/>
          </w:tcPr>
          <w:p>
            <w:r/>
            <w:r>
              <w:rPr>
                <w:b/>
                <w:color w:val="FFFFFF"/>
                <w:sz w:val="17"/>
              </w:rPr>
              <w:t>Product</w:t>
            </w:r>
          </w:p>
        </w:tc>
        <w:tc>
          <w:tcPr>
            <w:tcW w:type="dxa" w:w="3456"/>
            <w:shd w:fill="1F4E78"/>
            <w:vAlign w:val="center"/>
          </w:tcPr>
          <w:p>
            <w:r/>
            <w:r>
              <w:rPr>
                <w:b/>
                <w:color w:val="FFFFFF"/>
                <w:sz w:val="17"/>
              </w:rPr>
              <w:t>Sales</w:t>
            </w:r>
          </w:p>
        </w:tc>
        <w:tc>
          <w:tcPr>
            <w:tcW w:type="dxa" w:w="3456"/>
            <w:shd w:fill="1F4E78"/>
            <w:vAlign w:val="center"/>
          </w:tcPr>
          <w:p>
            <w:r/>
            <w:r>
              <w:rPr>
                <w:b/>
                <w:color w:val="FFFFFF"/>
                <w:sz w:val="17"/>
              </w:rPr>
              <w:t>Profit</w:t>
            </w:r>
          </w:p>
        </w:tc>
      </w:tr>
      <w:tr>
        <w:tc>
          <w:tcPr>
            <w:tcW w:type="dxa" w:w="3456"/>
            <w:vAlign w:val="center"/>
          </w:tcPr>
          <w:p>
            <w:r>
              <w:rPr>
                <w:sz w:val="17"/>
              </w:rPr>
              <w:t>Field &amp; Stream Sportsman 16 Gun Fire Safe</w:t>
            </w:r>
          </w:p>
        </w:tc>
        <w:tc>
          <w:tcPr>
            <w:tcW w:type="dxa" w:w="3456"/>
            <w:vAlign w:val="center"/>
          </w:tcPr>
          <w:p>
            <w:r>
              <w:rPr>
                <w:sz w:val="17"/>
              </w:rPr>
              <w:t>6.93M</w:t>
            </w:r>
          </w:p>
        </w:tc>
        <w:tc>
          <w:tcPr>
            <w:tcW w:type="dxa" w:w="3456"/>
            <w:vAlign w:val="center"/>
          </w:tcPr>
          <w:p>
            <w:r>
              <w:rPr>
                <w:sz w:val="17"/>
              </w:rPr>
              <w:t>0.76M</w:t>
            </w:r>
          </w:p>
        </w:tc>
      </w:tr>
      <w:tr>
        <w:tc>
          <w:tcPr>
            <w:tcW w:type="dxa" w:w="3456"/>
            <w:vAlign w:val="center"/>
          </w:tcPr>
          <w:p>
            <w:r>
              <w:rPr>
                <w:sz w:val="17"/>
              </w:rPr>
              <w:t>Perfect Fitness Perfect Rip Deck</w:t>
            </w:r>
          </w:p>
        </w:tc>
        <w:tc>
          <w:tcPr>
            <w:tcW w:type="dxa" w:w="3456"/>
            <w:vAlign w:val="center"/>
          </w:tcPr>
          <w:p>
            <w:r>
              <w:rPr>
                <w:sz w:val="17"/>
              </w:rPr>
              <w:t>4.42M</w:t>
            </w:r>
          </w:p>
        </w:tc>
        <w:tc>
          <w:tcPr>
            <w:tcW w:type="dxa" w:w="3456"/>
            <w:vAlign w:val="center"/>
          </w:tcPr>
          <w:p>
            <w:r>
              <w:rPr>
                <w:sz w:val="17"/>
              </w:rPr>
              <w:t>0.49M</w:t>
            </w:r>
          </w:p>
        </w:tc>
      </w:tr>
      <w:tr>
        <w:tc>
          <w:tcPr>
            <w:tcW w:type="dxa" w:w="3456"/>
            <w:vAlign w:val="center"/>
          </w:tcPr>
          <w:p>
            <w:r>
              <w:rPr>
                <w:sz w:val="17"/>
              </w:rPr>
              <w:t>Diamondback Women's Serene Classic</w:t>
            </w:r>
          </w:p>
        </w:tc>
        <w:tc>
          <w:tcPr>
            <w:tcW w:type="dxa" w:w="3456"/>
            <w:vAlign w:val="center"/>
          </w:tcPr>
          <w:p>
            <w:r>
              <w:rPr>
                <w:sz w:val="17"/>
              </w:rPr>
              <w:t>4.12M</w:t>
            </w:r>
          </w:p>
        </w:tc>
        <w:tc>
          <w:tcPr>
            <w:tcW w:type="dxa" w:w="3456"/>
            <w:vAlign w:val="center"/>
          </w:tcPr>
          <w:p>
            <w:r>
              <w:rPr>
                <w:sz w:val="17"/>
              </w:rPr>
              <w:t>0.43M</w:t>
            </w:r>
          </w:p>
        </w:tc>
      </w:tr>
      <w:tr>
        <w:tc>
          <w:tcPr>
            <w:tcW w:type="dxa" w:w="3456"/>
            <w:vAlign w:val="center"/>
          </w:tcPr>
          <w:p>
            <w:r>
              <w:rPr>
                <w:sz w:val="17"/>
              </w:rPr>
              <w:t>Nike Men's Free 5.0+</w:t>
            </w:r>
          </w:p>
        </w:tc>
        <w:tc>
          <w:tcPr>
            <w:tcW w:type="dxa" w:w="3456"/>
            <w:vAlign w:val="center"/>
          </w:tcPr>
          <w:p>
            <w:r>
              <w:rPr>
                <w:sz w:val="17"/>
              </w:rPr>
              <w:t>3.67M</w:t>
            </w:r>
          </w:p>
        </w:tc>
        <w:tc>
          <w:tcPr>
            <w:tcW w:type="dxa" w:w="3456"/>
            <w:vAlign w:val="center"/>
          </w:tcPr>
          <w:p>
            <w:r>
              <w:rPr>
                <w:sz w:val="17"/>
              </w:rPr>
              <w:t>0.38M</w:t>
            </w:r>
          </w:p>
        </w:tc>
      </w:tr>
      <w:tr>
        <w:tc>
          <w:tcPr>
            <w:tcW w:type="dxa" w:w="3456"/>
            <w:vAlign w:val="center"/>
          </w:tcPr>
          <w:p>
            <w:r>
              <w:rPr>
                <w:sz w:val="17"/>
              </w:rPr>
              <w:t>Nike Men's Dri-FIT Victory Golf Polo</w:t>
            </w:r>
          </w:p>
        </w:tc>
        <w:tc>
          <w:tcPr>
            <w:tcW w:type="dxa" w:w="3456"/>
            <w:vAlign w:val="center"/>
          </w:tcPr>
          <w:p>
            <w:r>
              <w:rPr>
                <w:sz w:val="17"/>
              </w:rPr>
              <w:t>3.15M</w:t>
            </w:r>
          </w:p>
        </w:tc>
        <w:tc>
          <w:tcPr>
            <w:tcW w:type="dxa" w:w="3456"/>
            <w:vAlign w:val="center"/>
          </w:tcPr>
          <w:p>
            <w:r>
              <w:rPr>
                <w:sz w:val="17"/>
              </w:rPr>
              <w:t>0.35M</w:t>
            </w:r>
          </w:p>
        </w:tc>
      </w:tr>
    </w:tbl>
    <w:p/>
    <w:p>
      <w:r>
        <w:t>Top categories by sales/profit include Fishing, Cleats, Camping &amp; Hiking, Cardio Equipment and Women's Apparel. The top five categories together account for approximately 22.3M Sales and 2.41M Profit in the recorded analysis.</w:t>
      </w:r>
    </w:p>
    <w:p>
      <w:r>
        <w:t>Business insight: Product analysis should distinguish sales contribution from profitability. The analysed high-sales/low-margin review did not identify a major product-level margin outlier; observed product margins were generally around 10–12%.</w:t>
      </w:r>
    </w:p>
    <w:p>
      <w:pPr>
        <w:pStyle w:val="Heading1"/>
      </w:pPr>
      <w:r>
        <w:t>8. Key Business Findings — Consolidated</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8"/>
            <w:vAlign w:val="center"/>
          </w:tcPr>
          <w:p>
            <w:r/>
            <w:r>
              <w:rPr>
                <w:b/>
                <w:color w:val="FFFFFF"/>
                <w:sz w:val="17"/>
              </w:rPr>
              <w:t>#</w:t>
            </w:r>
          </w:p>
        </w:tc>
        <w:tc>
          <w:tcPr>
            <w:tcW w:type="dxa" w:w="3456"/>
            <w:shd w:fill="1F4E78"/>
            <w:vAlign w:val="center"/>
          </w:tcPr>
          <w:p>
            <w:r/>
            <w:r>
              <w:rPr>
                <w:b/>
                <w:color w:val="FFFFFF"/>
                <w:sz w:val="17"/>
              </w:rPr>
              <w:t>Finding</w:t>
            </w:r>
          </w:p>
        </w:tc>
        <w:tc>
          <w:tcPr>
            <w:tcW w:type="dxa" w:w="3456"/>
            <w:shd w:fill="1F4E78"/>
            <w:vAlign w:val="center"/>
          </w:tcPr>
          <w:p>
            <w:r/>
            <w:r>
              <w:rPr>
                <w:b/>
                <w:color w:val="FFFFFF"/>
                <w:sz w:val="17"/>
              </w:rPr>
              <w:t>Measured Evidence</w:t>
            </w:r>
          </w:p>
        </w:tc>
      </w:tr>
      <w:tr>
        <w:tc>
          <w:tcPr>
            <w:tcW w:type="dxa" w:w="3456"/>
            <w:vAlign w:val="center"/>
          </w:tcPr>
          <w:p>
            <w:r>
              <w:rPr>
                <w:sz w:val="17"/>
              </w:rPr>
              <w:t>1</w:t>
            </w:r>
          </w:p>
        </w:tc>
        <w:tc>
          <w:tcPr>
            <w:tcW w:type="dxa" w:w="3456"/>
            <w:vAlign w:val="center"/>
          </w:tcPr>
          <w:p>
            <w:r>
              <w:rPr>
                <w:sz w:val="17"/>
              </w:rPr>
              <w:t>Customer base expanded strongly</w:t>
            </w:r>
          </w:p>
        </w:tc>
        <w:tc>
          <w:tcPr>
            <w:tcW w:type="dxa" w:w="3456"/>
            <w:vAlign w:val="center"/>
          </w:tcPr>
          <w:p>
            <w:r>
              <w:rPr>
                <w:sz w:val="17"/>
              </w:rPr>
              <w:t>Customers +48.3% YoY</w:t>
            </w:r>
          </w:p>
        </w:tc>
      </w:tr>
      <w:tr>
        <w:tc>
          <w:tcPr>
            <w:tcW w:type="dxa" w:w="3456"/>
            <w:vAlign w:val="center"/>
          </w:tcPr>
          <w:p>
            <w:r>
              <w:rPr>
                <w:sz w:val="17"/>
              </w:rPr>
              <w:t>2</w:t>
            </w:r>
          </w:p>
        </w:tc>
        <w:tc>
          <w:tcPr>
            <w:tcW w:type="dxa" w:w="3456"/>
            <w:vAlign w:val="center"/>
          </w:tcPr>
          <w:p>
            <w:r>
              <w:rPr>
                <w:sz w:val="17"/>
              </w:rPr>
              <w:t>Order growth was smaller than customer growth</w:t>
            </w:r>
          </w:p>
        </w:tc>
        <w:tc>
          <w:tcPr>
            <w:tcW w:type="dxa" w:w="3456"/>
            <w:vAlign w:val="center"/>
          </w:tcPr>
          <w:p>
            <w:r>
              <w:rPr>
                <w:sz w:val="17"/>
              </w:rPr>
              <w:t>Orders +4.8% YoY</w:t>
            </w:r>
          </w:p>
        </w:tc>
      </w:tr>
      <w:tr>
        <w:tc>
          <w:tcPr>
            <w:tcW w:type="dxa" w:w="3456"/>
            <w:vAlign w:val="center"/>
          </w:tcPr>
          <w:p>
            <w:r>
              <w:rPr>
                <w:sz w:val="17"/>
              </w:rPr>
              <w:t>3</w:t>
            </w:r>
          </w:p>
        </w:tc>
        <w:tc>
          <w:tcPr>
            <w:tcW w:type="dxa" w:w="3456"/>
            <w:vAlign w:val="center"/>
          </w:tcPr>
          <w:p>
            <w:r>
              <w:rPr>
                <w:sz w:val="17"/>
              </w:rPr>
              <w:t>Order value declined</w:t>
            </w:r>
          </w:p>
        </w:tc>
        <w:tc>
          <w:tcPr>
            <w:tcW w:type="dxa" w:w="3456"/>
            <w:vAlign w:val="center"/>
          </w:tcPr>
          <w:p>
            <w:r>
              <w:rPr>
                <w:sz w:val="17"/>
              </w:rPr>
              <w:t>AOV -8.4% YoY</w:t>
            </w:r>
          </w:p>
        </w:tc>
      </w:tr>
      <w:tr>
        <w:tc>
          <w:tcPr>
            <w:tcW w:type="dxa" w:w="3456"/>
            <w:vAlign w:val="center"/>
          </w:tcPr>
          <w:p>
            <w:r>
              <w:rPr>
                <w:sz w:val="17"/>
              </w:rPr>
              <w:t>4</w:t>
            </w:r>
          </w:p>
        </w:tc>
        <w:tc>
          <w:tcPr>
            <w:tcW w:type="dxa" w:w="3456"/>
            <w:vAlign w:val="center"/>
          </w:tcPr>
          <w:p>
            <w:r>
              <w:rPr>
                <w:sz w:val="17"/>
              </w:rPr>
              <w:t>Sales declined</w:t>
            </w:r>
          </w:p>
        </w:tc>
        <w:tc>
          <w:tcPr>
            <w:tcW w:type="dxa" w:w="3456"/>
            <w:vAlign w:val="center"/>
          </w:tcPr>
          <w:p>
            <w:r>
              <w:rPr>
                <w:sz w:val="17"/>
              </w:rPr>
              <w:t>Sales -4.0% YoY</w:t>
            </w:r>
          </w:p>
        </w:tc>
      </w:tr>
      <w:tr>
        <w:tc>
          <w:tcPr>
            <w:tcW w:type="dxa" w:w="3456"/>
            <w:vAlign w:val="center"/>
          </w:tcPr>
          <w:p>
            <w:r>
              <w:rPr>
                <w:sz w:val="17"/>
              </w:rPr>
              <w:t>5</w:t>
            </w:r>
          </w:p>
        </w:tc>
        <w:tc>
          <w:tcPr>
            <w:tcW w:type="dxa" w:w="3456"/>
            <w:vAlign w:val="center"/>
          </w:tcPr>
          <w:p>
            <w:r>
              <w:rPr>
                <w:sz w:val="17"/>
              </w:rPr>
              <w:t>Absolute profit remained broadly stable</w:t>
            </w:r>
          </w:p>
        </w:tc>
        <w:tc>
          <w:tcPr>
            <w:tcW w:type="dxa" w:w="3456"/>
            <w:vAlign w:val="center"/>
          </w:tcPr>
          <w:p>
            <w:r>
              <w:rPr>
                <w:sz w:val="17"/>
              </w:rPr>
              <w:t>Profit -0.5% YoY</w:t>
            </w:r>
          </w:p>
        </w:tc>
      </w:tr>
      <w:tr>
        <w:tc>
          <w:tcPr>
            <w:tcW w:type="dxa" w:w="3456"/>
            <w:vAlign w:val="center"/>
          </w:tcPr>
          <w:p>
            <w:r>
              <w:rPr>
                <w:sz w:val="17"/>
              </w:rPr>
              <w:t>6</w:t>
            </w:r>
          </w:p>
        </w:tc>
        <w:tc>
          <w:tcPr>
            <w:tcW w:type="dxa" w:w="3456"/>
            <w:vAlign w:val="center"/>
          </w:tcPr>
          <w:p>
            <w:r>
              <w:rPr>
                <w:sz w:val="17"/>
              </w:rPr>
              <w:t>Margin improved</w:t>
            </w:r>
          </w:p>
        </w:tc>
        <w:tc>
          <w:tcPr>
            <w:tcW w:type="dxa" w:w="3456"/>
            <w:vAlign w:val="center"/>
          </w:tcPr>
          <w:p>
            <w:r>
              <w:rPr>
                <w:sz w:val="17"/>
              </w:rPr>
              <w:t>Profit Margin +3.7% YoY</w:t>
            </w:r>
          </w:p>
        </w:tc>
      </w:tr>
      <w:tr>
        <w:tc>
          <w:tcPr>
            <w:tcW w:type="dxa" w:w="3456"/>
            <w:vAlign w:val="center"/>
          </w:tcPr>
          <w:p>
            <w:r>
              <w:rPr>
                <w:sz w:val="17"/>
              </w:rPr>
              <w:t>7</w:t>
            </w:r>
          </w:p>
        </w:tc>
        <w:tc>
          <w:tcPr>
            <w:tcW w:type="dxa" w:w="3456"/>
            <w:vAlign w:val="center"/>
          </w:tcPr>
          <w:p>
            <w:r>
              <w:rPr>
                <w:sz w:val="17"/>
              </w:rPr>
              <w:t>Delivery remains a material operational signal</w:t>
            </w:r>
          </w:p>
        </w:tc>
        <w:tc>
          <w:tcPr>
            <w:tcW w:type="dxa" w:w="3456"/>
            <w:vAlign w:val="center"/>
          </w:tcPr>
          <w:p>
            <w:r>
              <w:rPr>
                <w:sz w:val="17"/>
              </w:rPr>
              <w:t>Late Delivery 54.81%</w:t>
            </w:r>
          </w:p>
        </w:tc>
      </w:tr>
      <w:tr>
        <w:tc>
          <w:tcPr>
            <w:tcW w:type="dxa" w:w="3456"/>
            <w:vAlign w:val="center"/>
          </w:tcPr>
          <w:p>
            <w:r>
              <w:rPr>
                <w:sz w:val="17"/>
              </w:rPr>
              <w:t>8</w:t>
            </w:r>
          </w:p>
        </w:tc>
        <w:tc>
          <w:tcPr>
            <w:tcW w:type="dxa" w:w="3456"/>
            <w:vAlign w:val="center"/>
          </w:tcPr>
          <w:p>
            <w:r>
              <w:rPr>
                <w:sz w:val="17"/>
              </w:rPr>
              <w:t>Shipping mode differentiates delivery performance</w:t>
            </w:r>
          </w:p>
        </w:tc>
        <w:tc>
          <w:tcPr>
            <w:tcW w:type="dxa" w:w="3456"/>
            <w:vAlign w:val="center"/>
          </w:tcPr>
          <w:p>
            <w:r>
              <w:rPr>
                <w:sz w:val="17"/>
              </w:rPr>
              <w:t>First Class 95.18% vs Standard Class 38.10%</w:t>
            </w:r>
          </w:p>
        </w:tc>
      </w:tr>
    </w:tbl>
    <w:p/>
    <w:p>
      <w:pPr>
        <w:pStyle w:val="Heading1"/>
      </w:pPr>
      <w:r>
        <w:t>9. Business Action Areas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F4E78"/>
            <w:vAlign w:val="center"/>
          </w:tcPr>
          <w:p>
            <w:r/>
            <w:r>
              <w:rPr>
                <w:b/>
                <w:color w:val="FFFFFF"/>
                <w:sz w:val="17"/>
              </w:rPr>
              <w:t>Business Area</w:t>
            </w:r>
          </w:p>
        </w:tc>
        <w:tc>
          <w:tcPr>
            <w:tcW w:type="dxa" w:w="2592"/>
            <w:shd w:fill="1F4E78"/>
            <w:vAlign w:val="center"/>
          </w:tcPr>
          <w:p>
            <w:r/>
            <w:r>
              <w:rPr>
                <w:b/>
                <w:color w:val="FFFFFF"/>
                <w:sz w:val="17"/>
              </w:rPr>
              <w:t>Evidence</w:t>
            </w:r>
          </w:p>
        </w:tc>
        <w:tc>
          <w:tcPr>
            <w:tcW w:type="dxa" w:w="2592"/>
            <w:shd w:fill="1F4E78"/>
            <w:vAlign w:val="center"/>
          </w:tcPr>
          <w:p>
            <w:r/>
            <w:r>
              <w:rPr>
                <w:b/>
                <w:color w:val="FFFFFF"/>
                <w:sz w:val="17"/>
              </w:rPr>
              <w:t>Action Area</w:t>
            </w:r>
          </w:p>
        </w:tc>
        <w:tc>
          <w:tcPr>
            <w:tcW w:type="dxa" w:w="2592"/>
            <w:shd w:fill="1F4E78"/>
            <w:vAlign w:val="center"/>
          </w:tcPr>
          <w:p>
            <w:r/>
            <w:r>
              <w:rPr>
                <w:b/>
                <w:color w:val="FFFFFF"/>
                <w:sz w:val="17"/>
              </w:rPr>
              <w:t>Expected Business Impact</w:t>
            </w:r>
          </w:p>
        </w:tc>
      </w:tr>
      <w:tr>
        <w:tc>
          <w:tcPr>
            <w:tcW w:type="dxa" w:w="2592"/>
            <w:vAlign w:val="center"/>
          </w:tcPr>
          <w:p>
            <w:r>
              <w:rPr>
                <w:sz w:val="17"/>
              </w:rPr>
              <w:t>Customer Productivity</w:t>
            </w:r>
          </w:p>
        </w:tc>
        <w:tc>
          <w:tcPr>
            <w:tcW w:type="dxa" w:w="2592"/>
            <w:vAlign w:val="center"/>
          </w:tcPr>
          <w:p>
            <w:r>
              <w:rPr>
                <w:sz w:val="17"/>
              </w:rPr>
              <w:t>Customers +48.3%; AOV -8.4%</w:t>
            </w:r>
          </w:p>
        </w:tc>
        <w:tc>
          <w:tcPr>
            <w:tcW w:type="dxa" w:w="2592"/>
            <w:vAlign w:val="center"/>
          </w:tcPr>
          <w:p>
            <w:r>
              <w:rPr>
                <w:sz w:val="17"/>
              </w:rPr>
              <w:t>Monitor AOV, orders/customer and Sales per Customer</w:t>
            </w:r>
          </w:p>
        </w:tc>
        <w:tc>
          <w:tcPr>
            <w:tcW w:type="dxa" w:w="2592"/>
            <w:vAlign w:val="center"/>
          </w:tcPr>
          <w:p>
            <w:r>
              <w:rPr>
                <w:sz w:val="17"/>
              </w:rPr>
              <w:t>Improve value generated from customer growth</w:t>
            </w:r>
          </w:p>
        </w:tc>
      </w:tr>
      <w:tr>
        <w:tc>
          <w:tcPr>
            <w:tcW w:type="dxa" w:w="2592"/>
            <w:vAlign w:val="center"/>
          </w:tcPr>
          <w:p>
            <w:r>
              <w:rPr>
                <w:sz w:val="17"/>
              </w:rPr>
              <w:t>Revenue Management</w:t>
            </w:r>
          </w:p>
        </w:tc>
        <w:tc>
          <w:tcPr>
            <w:tcW w:type="dxa" w:w="2592"/>
            <w:vAlign w:val="center"/>
          </w:tcPr>
          <w:p>
            <w:r>
              <w:rPr>
                <w:sz w:val="17"/>
              </w:rPr>
              <w:t>Sales -4.0%</w:t>
            </w:r>
          </w:p>
        </w:tc>
        <w:tc>
          <w:tcPr>
            <w:tcW w:type="dxa" w:w="2592"/>
            <w:vAlign w:val="center"/>
          </w:tcPr>
          <w:p>
            <w:r>
              <w:rPr>
                <w:sz w:val="17"/>
              </w:rPr>
              <w:t>Drill into market, segment, category and product movements</w:t>
            </w:r>
          </w:p>
        </w:tc>
        <w:tc>
          <w:tcPr>
            <w:tcW w:type="dxa" w:w="2592"/>
            <w:vAlign w:val="center"/>
          </w:tcPr>
          <w:p>
            <w:r>
              <w:rPr>
                <w:sz w:val="17"/>
              </w:rPr>
              <w:t>Identify sales leakage earlier</w:t>
            </w:r>
          </w:p>
        </w:tc>
      </w:tr>
      <w:tr>
        <w:tc>
          <w:tcPr>
            <w:tcW w:type="dxa" w:w="2592"/>
            <w:vAlign w:val="center"/>
          </w:tcPr>
          <w:p>
            <w:r>
              <w:rPr>
                <w:sz w:val="17"/>
              </w:rPr>
              <w:t>Profitability</w:t>
            </w:r>
          </w:p>
        </w:tc>
        <w:tc>
          <w:tcPr>
            <w:tcW w:type="dxa" w:w="2592"/>
            <w:vAlign w:val="center"/>
          </w:tcPr>
          <w:p>
            <w:r>
              <w:rPr>
                <w:sz w:val="17"/>
              </w:rPr>
              <w:t>Profit -0.5%; Margin +3.7%</w:t>
            </w:r>
          </w:p>
        </w:tc>
        <w:tc>
          <w:tcPr>
            <w:tcW w:type="dxa" w:w="2592"/>
            <w:vAlign w:val="center"/>
          </w:tcPr>
          <w:p>
            <w:r>
              <w:rPr>
                <w:sz w:val="17"/>
              </w:rPr>
              <w:t>Track absolute profit and margin together</w:t>
            </w:r>
          </w:p>
        </w:tc>
        <w:tc>
          <w:tcPr>
            <w:tcW w:type="dxa" w:w="2592"/>
            <w:vAlign w:val="center"/>
          </w:tcPr>
          <w:p>
            <w:r>
              <w:rPr>
                <w:sz w:val="17"/>
              </w:rPr>
              <w:t>Protect profitable revenue</w:t>
            </w:r>
          </w:p>
        </w:tc>
      </w:tr>
      <w:tr>
        <w:tc>
          <w:tcPr>
            <w:tcW w:type="dxa" w:w="2592"/>
            <w:vAlign w:val="center"/>
          </w:tcPr>
          <w:p>
            <w:r>
              <w:rPr>
                <w:sz w:val="17"/>
              </w:rPr>
              <w:t>Delivery</w:t>
            </w:r>
          </w:p>
        </w:tc>
        <w:tc>
          <w:tcPr>
            <w:tcW w:type="dxa" w:w="2592"/>
            <w:vAlign w:val="center"/>
          </w:tcPr>
          <w:p>
            <w:r>
              <w:rPr>
                <w:sz w:val="17"/>
              </w:rPr>
              <w:t>Late Delivery 54.81%</w:t>
            </w:r>
          </w:p>
        </w:tc>
        <w:tc>
          <w:tcPr>
            <w:tcW w:type="dxa" w:w="2592"/>
            <w:vAlign w:val="center"/>
          </w:tcPr>
          <w:p>
            <w:r>
              <w:rPr>
                <w:sz w:val="17"/>
              </w:rPr>
              <w:t>Investigate high-risk shipping modes and execution gaps</w:t>
            </w:r>
          </w:p>
        </w:tc>
        <w:tc>
          <w:tcPr>
            <w:tcW w:type="dxa" w:w="2592"/>
            <w:vAlign w:val="center"/>
          </w:tcPr>
          <w:p>
            <w:r>
              <w:rPr>
                <w:sz w:val="17"/>
              </w:rPr>
              <w:t>Improve SLA visibility and operational control</w:t>
            </w:r>
          </w:p>
        </w:tc>
      </w:tr>
      <w:tr>
        <w:tc>
          <w:tcPr>
            <w:tcW w:type="dxa" w:w="2592"/>
            <w:vAlign w:val="center"/>
          </w:tcPr>
          <w:p>
            <w:r>
              <w:rPr>
                <w:sz w:val="17"/>
              </w:rPr>
              <w:t>Customer Profitability</w:t>
            </w:r>
          </w:p>
        </w:tc>
        <w:tc>
          <w:tcPr>
            <w:tcW w:type="dxa" w:w="2592"/>
            <w:vAlign w:val="center"/>
          </w:tcPr>
          <w:p>
            <w:r>
              <w:rPr>
                <w:sz w:val="17"/>
              </w:rPr>
              <w:t>Loss-making customer profit impact across segments</w:t>
            </w:r>
          </w:p>
        </w:tc>
        <w:tc>
          <w:tcPr>
            <w:tcW w:type="dxa" w:w="2592"/>
            <w:vAlign w:val="center"/>
          </w:tcPr>
          <w:p>
            <w:r>
              <w:rPr>
                <w:sz w:val="17"/>
              </w:rPr>
              <w:t>Review customer/segment combinations with negative profit</w:t>
            </w:r>
          </w:p>
        </w:tc>
        <w:tc>
          <w:tcPr>
            <w:tcW w:type="dxa" w:w="2592"/>
            <w:vAlign w:val="center"/>
          </w:tcPr>
          <w:p>
            <w:r>
              <w:rPr>
                <w:sz w:val="17"/>
              </w:rPr>
              <w:t>Reduce profit leakage</w:t>
            </w:r>
          </w:p>
        </w:tc>
      </w:tr>
      <w:tr>
        <w:tc>
          <w:tcPr>
            <w:tcW w:type="dxa" w:w="2592"/>
            <w:vAlign w:val="center"/>
          </w:tcPr>
          <w:p>
            <w:r>
              <w:rPr>
                <w:sz w:val="17"/>
              </w:rPr>
              <w:t>Product Performance</w:t>
            </w:r>
          </w:p>
        </w:tc>
        <w:tc>
          <w:tcPr>
            <w:tcW w:type="dxa" w:w="2592"/>
            <w:vAlign w:val="center"/>
          </w:tcPr>
          <w:p>
            <w:r>
              <w:rPr>
                <w:sz w:val="17"/>
              </w:rPr>
              <w:t>Sales concentrated in leading products/categories</w:t>
            </w:r>
          </w:p>
        </w:tc>
        <w:tc>
          <w:tcPr>
            <w:tcW w:type="dxa" w:w="2592"/>
            <w:vAlign w:val="center"/>
          </w:tcPr>
          <w:p>
            <w:r>
              <w:rPr>
                <w:sz w:val="17"/>
              </w:rPr>
              <w:t>Monitor sales, quantity, price, discount and profit together</w:t>
            </w:r>
          </w:p>
        </w:tc>
        <w:tc>
          <w:tcPr>
            <w:tcW w:type="dxa" w:w="2592"/>
            <w:vAlign w:val="center"/>
          </w:tcPr>
          <w:p>
            <w:r>
              <w:rPr>
                <w:sz w:val="17"/>
              </w:rPr>
              <w:t>Improve product-level decision visibility</w:t>
            </w:r>
          </w:p>
        </w:tc>
      </w:tr>
    </w:tbl>
    <w:p/>
    <w:p>
      <w:r>
        <w:t>These are evidence-based action areas for further business investigation. They are not guarantees of future performance.</w:t>
      </w:r>
    </w:p>
    <w:p>
      <w:pPr>
        <w:pStyle w:val="Heading1"/>
      </w:pPr>
      <w:r>
        <w:t>10. Expected Business Impact Framework</w:t>
      </w:r>
    </w:p>
    <w:p>
      <w:r>
        <w:t>The analysis creates a measurable management path: better delivery visibility → stronger service control → improved customer experience; customer productivity analysis → stronger order value → better revenue quality; profitability analysis → reduced profit leakage → stronger profit contribution; combined commercial and operational monitoring → better overall business performance management.</w:t>
      </w:r>
    </w:p>
    <w:p>
      <w:pPr>
        <w:pStyle w:val="Heading1"/>
      </w:pPr>
      <w:r>
        <w:t>11. Final Executive Takeaway</w:t>
      </w:r>
    </w:p>
    <w:p>
      <w:r>
        <w:t>The three-year analysis shows a clear relationship between growth and value: the customer base expanded strongly, but the increase in customers did not translate into equivalent sales growth because AOV declined. Absolute profit remained broadly stable and margin improved, while delivery performance remained a persistent operational concern.</w:t>
      </w:r>
    </w:p>
    <w:p>
      <w:r>
        <w:t>The resulting business focus is therefore two-sided: improve the value generated from customer and order growth, while strengthening visibility and control over delivery execution and profit leakage.</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Supply Chain &amp; Sales Analysis | Executive Business Insights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