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3A2E"/>
          <w:sz w:val="30"/>
        </w:rPr>
        <w:t>Wood-Matrix MVP — Absolute Minimum</w:t>
      </w:r>
    </w:p>
    <w:p>
      <w:pPr>
        <w:spacing w:before="120" w:after="40"/>
      </w:pPr>
      <w:r>
        <w:rPr>
          <w:b/>
          <w:color w:val="1F3A2E"/>
          <w:sz w:val="21"/>
        </w:rPr>
        <w:t>1. Core MVP Hypothesis</w:t>
      </w:r>
    </w:p>
    <w:p>
      <w:r>
        <w:t>Professional plywood buyers will place real, priced orders for birch plywood on the basis of specification, price, and availability alone — without knowing the manufacturer — and suppliers will repeatedly expose sellable stock and honour those orders, at a spread that makes Wood-Matrix commercially viable as the anonymous intermediary.</w:t>
      </w:r>
    </w:p>
    <w:p>
      <w:pPr>
        <w:spacing w:before="120" w:after="40"/>
      </w:pPr>
      <w:r>
        <w:rPr>
          <w:b/>
          <w:color w:val="1F3A2E"/>
          <w:sz w:val="21"/>
        </w:rPr>
        <w:t>2. Buyer — One Core Action</w:t>
      </w:r>
    </w:p>
    <w:p>
      <w:r>
        <w:rPr>
          <w:b/>
        </w:rPr>
        <w:t xml:space="preserve">Submit a priced purchase request </w:t>
      </w:r>
      <w:r>
        <w:t>against an anonymised, specification-based stock list (grade, dimensions, certification, price per pallet, location, availability — no manufacturer identity). This is the minimum because it is the only buyer behaviour that tests both hypotheses at once: routing real demand through a new, unproven channel proves the sourcing pain is real, and doing so without brand or mill identity proves acceptance of the core marketplace premise (spec-for-brand substitution at Wood-Matrix’s price). Sign-ups, browsing, and interviews are opinions; a priced request is evidence.</w:t>
      </w:r>
    </w:p>
    <w:p>
      <w:pPr>
        <w:spacing w:before="120" w:after="40"/>
      </w:pPr>
      <w:r>
        <w:rPr>
          <w:b/>
          <w:color w:val="1F3A2E"/>
          <w:sz w:val="21"/>
        </w:rPr>
        <w:t>3. Supplier — One Core Action</w:t>
      </w:r>
    </w:p>
    <w:p>
      <w:r>
        <w:rPr>
          <w:b/>
        </w:rPr>
        <w:t xml:space="preserve">Share a current, net-priced stock list </w:t>
      </w:r>
      <w:r>
        <w:t>at pallet level, and confirm allocation of an incoming order within 24 hours. This is the minimum because it tests the two things supply-side adoption actually depends on: willingness to expose real sellable inventory and net prices to an intermediary that resells anonymously at a margin, and willingness to fulfil when a real order arrives. Portals, onboarding flows, and inventory tools test nothing that a shared spreadsheet does not.</w:t>
      </w:r>
    </w:p>
    <w:p>
      <w:pPr>
        <w:spacing w:before="120" w:after="40"/>
      </w:pPr>
      <w:r>
        <w:rPr>
          <w:b/>
          <w:color w:val="1F3A2E"/>
          <w:sz w:val="21"/>
        </w:rPr>
        <w:t>4. Marketplace Interaction</w:t>
      </w:r>
    </w:p>
    <w:p>
      <w:r>
        <w:t>A weekly, manually curated anonymised stock sheet (one page: spec, price, location, availability) compiled from the stock lists of 2–3 suppliers — including at least one beyond Trinity Wood — is sent to 10–20 known professional buyers. A buyer replies with a purchase request; the operator confirms availability with the supplier by phone or email, returns a firm quote within 24 hours; the buyer issues a purchase order; Wood-Matrix invoices the buyer and is invoiced by the supplier, keeping the margin. One completed trade closes the loop; repetition of that loop is the test. Everything between the two core actions is deliberately human.</w:t>
      </w:r>
    </w:p>
    <w:p>
      <w:pPr>
        <w:spacing w:before="120" w:after="40"/>
      </w:pPr>
      <w:r>
        <w:rPr>
          <w:b/>
          <w:color w:val="1F3A2E"/>
          <w:sz w:val="21"/>
        </w:rPr>
        <w:t>5. What the MVP Must NOT Include</w:t>
      </w:r>
    </w:p>
    <w:p>
      <w:pPr>
        <w:pStyle w:val="ListBullet"/>
        <w:spacing w:after="20"/>
      </w:pPr>
      <w:r>
        <w:rPr>
          <w:sz w:val="19"/>
        </w:rPr>
        <w:t>The 27-screen application: buyer/supplier/admin portals, logins, accounts, dashboards, notifications.</w:t>
      </w:r>
    </w:p>
    <w:p>
      <w:pPr>
        <w:pStyle w:val="ListBullet"/>
        <w:spacing w:after="20"/>
      </w:pPr>
      <w:r>
        <w:rPr>
          <w:sz w:val="19"/>
        </w:rPr>
        <w:t>Automated allocation, RFQ, or quoting engines; live inventory sync; margin automation.</w:t>
      </w:r>
    </w:p>
    <w:p>
      <w:pPr>
        <w:pStyle w:val="ListBullet"/>
        <w:spacing w:after="20"/>
      </w:pPr>
      <w:r>
        <w:rPr>
          <w:sz w:val="19"/>
        </w:rPr>
        <w:t>Payments, escrow, financing, logistics, or freight handling beyond today’s manual practice.</w:t>
      </w:r>
    </w:p>
    <w:p>
      <w:pPr>
        <w:pStyle w:val="ListBullet"/>
        <w:spacing w:after="20"/>
      </w:pPr>
      <w:r>
        <w:rPr>
          <w:sz w:val="19"/>
        </w:rPr>
        <w:t>Search, filters, recommendations, AI, analytics, or integrations of any kind.</w:t>
      </w:r>
    </w:p>
    <w:p>
      <w:pPr>
        <w:pStyle w:val="ListBullet"/>
        <w:spacing w:after="20"/>
      </w:pPr>
      <w:r>
        <w:rPr>
          <w:sz w:val="19"/>
        </w:rPr>
        <w:t>Supplier self-service onboarding or listing tools; category expansion beyond birch plywood.</w:t>
      </w:r>
    </w:p>
    <w:p>
      <w:pPr>
        <w:spacing w:before="120" w:after="40"/>
      </w:pPr>
      <w:r>
        <w:rPr>
          <w:b/>
          <w:color w:val="1F3A2E"/>
          <w:sz w:val="21"/>
        </w:rPr>
        <w:t>6. Validation Evidence</w:t>
      </w:r>
    </w:p>
    <w:p>
      <w:pPr>
        <w:pStyle w:val="ListBullet"/>
        <w:spacing w:after="20"/>
      </w:pPr>
      <w:r>
        <w:rPr>
          <w:b/>
          <w:sz w:val="19"/>
        </w:rPr>
        <w:t xml:space="preserve">Problem is real: </w:t>
      </w:r>
      <w:r>
        <w:rPr>
          <w:sz w:val="19"/>
        </w:rPr>
        <w:t>a meaningful share (target ≥ 30%) of contacted buyers submits at least one priced request within two list cycles, and buyers return unprompted with further requests.</w:t>
      </w:r>
    </w:p>
    <w:p>
      <w:pPr>
        <w:pStyle w:val="ListBullet"/>
        <w:spacing w:after="20"/>
      </w:pPr>
      <w:r>
        <w:rPr>
          <w:b/>
          <w:sz w:val="19"/>
        </w:rPr>
        <w:t xml:space="preserve">Users are adopting: </w:t>
      </w:r>
      <w:r>
        <w:rPr>
          <w:sz w:val="19"/>
        </w:rPr>
        <w:t>buyers accept firm quotes without demanding manufacturer identity; at least two suppliers refresh their stock lists unprompted for a second cycle; at least one buyer reorders; suppliers honour quoted prices and dates.</w:t>
      </w:r>
    </w:p>
    <w:p>
      <w:pPr>
        <w:pStyle w:val="ListBullet"/>
        <w:spacing w:after="20"/>
      </w:pPr>
      <w:r>
        <w:rPr>
          <w:b/>
          <w:sz w:val="19"/>
        </w:rPr>
        <w:t xml:space="preserve">Model can scale: </w:t>
      </w:r>
      <w:r>
        <w:rPr>
          <w:sz w:val="19"/>
        </w:rPr>
        <w:t>operator hours per completed trade fall visibly between the first and fifth order; one shared list serves all buyers without per-buyer customisation; adding a new supplier’s stock takes hours, not days; request conversion holds on non-Trinity stock.</w:t>
      </w:r>
    </w:p>
    <w:p>
      <w:pPr>
        <w:spacing w:before="120" w:after="40"/>
      </w:pPr>
      <w:r>
        <w:rPr>
          <w:b/>
          <w:color w:val="1F3A2E"/>
          <w:sz w:val="21"/>
        </w:rPr>
        <w:t>7. MVP in One Sentence</w:t>
      </w:r>
    </w:p>
    <w:p>
      <w:r>
        <w:rPr>
          <w:i/>
        </w:rPr>
        <w:t>A weekly, hand-curated anonymised birch-plywood stock list against which real buyers place real orders that real suppliers fulfil — with Wood-Matrix brokering every step manually and keeping the margin.</w:t>
      </w:r>
    </w:p>
    <w:sectPr w:rsidR="00FC693F" w:rsidRPr="0006063C" w:rsidSect="00034616">
      <w:pgSz w:w="12240" w:h="15840"/>
      <w:pgMar w:top="794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