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z w:val="30"/>
          <w:szCs w:val="30"/>
        </w:rPr>
        <w:t xml:space="preserve">Wood-Matrix MVP — Absolute Minimum</w:t>
      </w:r>
    </w:p>
    <w:p>
      <w:pPr>
        <w:pBdr>
          <w:bottom w:val="single" w:color="6B4A2B" w:sz="6" w:space="4"/>
        </w:pBdr>
        <w:spacing w:after="90"/>
      </w:pPr>
      <w:r>
        <w:rPr>
          <w:rFonts w:ascii="Calibri" w:cs="Calibri" w:eastAsia="Calibri" w:hAnsi="Calibri"/>
          <w:i/>
          <w:iCs/>
          <w:color w:val="555555"/>
          <w:sz w:val="17"/>
          <w:szCs w:val="17"/>
        </w:rPr>
        <w:t xml:space="preserve">Strategic definition of the smallest test of the marketplace hypothesis — deliberately smaller than the 27-screen prototype, which is a vision demo, not the MVP.</w:t>
      </w:r>
    </w:p>
    <w:p>
      <w:pPr>
        <w:spacing w:after="40" w:before="130"/>
      </w:pPr>
      <w:r>
        <w:rPr>
          <w:rFonts w:ascii="Calibri" w:cs="Calibri" w:eastAsia="Calibri" w:hAnsi="Calibri"/>
          <w:b/>
          <w:bCs/>
          <w:color w:val="6B4A2B"/>
          <w:sz w:val="21"/>
          <w:szCs w:val="21"/>
        </w:rPr>
        <w:t xml:space="preserve">1. Core MVP Hypothesis</w:t>
      </w:r>
    </w:p>
    <w:p>
      <w:pPr>
        <w:spacing w:after="50" w:line="232" w:lineRule="auto"/>
      </w:pPr>
      <w:r>
        <w:rPr>
          <w:rFonts w:ascii="Calibri" w:cs="Calibri" w:eastAsia="Calibri" w:hAnsi="Calibri"/>
          <w:color w:val="1A1A1A"/>
          <w:sz w:val="18"/>
          <w:szCs w:val="18"/>
        </w:rPr>
        <w:t xml:space="preserve">Professional plywood buyers will place real, repeat orders at a </w:t>
      </w:r>
      <w:r>
        <w:rPr>
          <w:rFonts w:ascii="Calibri" w:cs="Calibri" w:eastAsia="Calibri" w:hAnsi="Calibri"/>
          <w:b/>
          <w:bCs/>
          <w:color w:val="1A1A1A"/>
          <w:sz w:val="18"/>
          <w:szCs w:val="18"/>
        </w:rPr>
        <w:t xml:space="preserve">firm displayed price without knowing or choosing the supplier</w:t>
      </w:r>
      <w:r>
        <w:rPr>
          <w:rFonts w:ascii="Calibri" w:cs="Calibri" w:eastAsia="Calibri" w:hAnsi="Calibri"/>
          <w:color w:val="1A1A1A"/>
          <w:sz w:val="18"/>
          <w:szCs w:val="18"/>
        </w:rPr>
        <w:t xml:space="preserve">, and independent suppliers will keep firm prices and available volumes current because the channel wins them orders. The untested part is not whether Woodline will buy from Trinity — that trade already exists. It is whether a buyer accepts an anonymous best price, and whether a </w:t>
      </w:r>
      <w:r>
        <w:rPr>
          <w:rFonts w:ascii="Calibri" w:cs="Calibri" w:eastAsia="Calibri" w:hAnsi="Calibri"/>
          <w:b/>
          <w:bCs/>
          <w:color w:val="1A1A1A"/>
          <w:sz w:val="18"/>
          <w:szCs w:val="18"/>
        </w:rPr>
        <w:t xml:space="preserve">non-Trinity supplier</w:t>
      </w:r>
      <w:r>
        <w:rPr>
          <w:rFonts w:ascii="Calibri" w:cs="Calibri" w:eastAsia="Calibri" w:hAnsi="Calibri"/>
          <w:color w:val="1A1A1A"/>
          <w:sz w:val="18"/>
          <w:szCs w:val="18"/>
        </w:rPr>
        <w:t xml:space="preserve"> will list and be selected. The MVP exists to force exactly that interaction.</w:t>
      </w:r>
    </w:p>
    <w:p>
      <w:pPr>
        <w:spacing w:after="40" w:before="130"/>
      </w:pPr>
      <w:r>
        <w:rPr>
          <w:rFonts w:ascii="Calibri" w:cs="Calibri" w:eastAsia="Calibri" w:hAnsi="Calibri"/>
          <w:b/>
          <w:bCs/>
          <w:color w:val="6B4A2B"/>
          <w:sz w:val="21"/>
          <w:szCs w:val="21"/>
        </w:rPr>
        <w:t xml:space="preserve">2. Buyer — One Core Action</w:t>
      </w:r>
    </w:p>
    <w:p>
      <w:pPr>
        <w:spacing w:after="50" w:line="232" w:lineRule="auto"/>
      </w:pPr>
      <w:r>
        <w:rPr>
          <w:rFonts w:ascii="Calibri" w:cs="Calibri" w:eastAsia="Calibri" w:hAnsi="Calibri"/>
          <w:b/>
          <w:bCs/>
          <w:color w:val="1A1A1A"/>
          <w:sz w:val="18"/>
          <w:szCs w:val="18"/>
        </w:rPr>
        <w:t xml:space="preserve">Action: place a binding order (min. 1 pallet) directly from a live, supplier-anonymous price-and-stock list of ~18 standard birch plywood SKUs — no calls, no email negotiation.</w:t>
      </w:r>
    </w:p>
    <w:p>
      <w:pPr>
        <w:spacing w:after="50" w:line="232" w:lineRule="auto"/>
      </w:pPr>
      <w:r>
        <w:rPr>
          <w:rFonts w:ascii="Calibri" w:cs="Calibri" w:eastAsia="Calibri" w:hAnsi="Calibri"/>
          <w:color w:val="1A1A1A"/>
          <w:sz w:val="18"/>
          <w:szCs w:val="18"/>
        </w:rPr>
        <w:t xml:space="preserve">This is the minimum because it tests problem and adoption in one behavior: if instant, trustworthy multi-supplier pricing solves a real pain (today: phone rounds, stale spreadsheets, daily price drift), buyers will consult the list unprompted and order from it even though their old direct channels remain open. Browsing, praise, or survey answers are not evidence; an order at a listed price with money behind it is. Anything less than an order — an RFQ, an enquiry — reverts to the negotiation behavior Wood-Matrix claims to replace.</w:t>
      </w:r>
    </w:p>
    <w:p>
      <w:pPr>
        <w:spacing w:after="40" w:before="130"/>
      </w:pPr>
      <w:r>
        <w:rPr>
          <w:rFonts w:ascii="Calibri" w:cs="Calibri" w:eastAsia="Calibri" w:hAnsi="Calibri"/>
          <w:b/>
          <w:bCs/>
          <w:color w:val="6B4A2B"/>
          <w:sz w:val="21"/>
          <w:szCs w:val="21"/>
        </w:rPr>
        <w:t xml:space="preserve">3. Supplier — One Core Action</w:t>
      </w:r>
    </w:p>
    <w:p>
      <w:pPr>
        <w:spacing w:after="50" w:line="232" w:lineRule="auto"/>
      </w:pPr>
      <w:r>
        <w:rPr>
          <w:rFonts w:ascii="Calibri" w:cs="Calibri" w:eastAsia="Calibri" w:hAnsi="Calibri"/>
          <w:b/>
          <w:bCs/>
          <w:color w:val="1A1A1A"/>
          <w:sz w:val="18"/>
          <w:szCs w:val="18"/>
        </w:rPr>
        <w:t xml:space="preserve">Action: maintain firm prices and available volumes for their SKUs on a standardized sheet (weekly refresh), and confirm within 24 hours any order routed to them at those prices.</w:t>
      </w:r>
    </w:p>
    <w:p>
      <w:pPr>
        <w:spacing w:after="50" w:line="232" w:lineRule="auto"/>
      </w:pPr>
      <w:r>
        <w:rPr>
          <w:rFonts w:ascii="Calibri" w:cs="Calibri" w:eastAsia="Calibri" w:hAnsi="Calibri"/>
          <w:color w:val="1A1A1A"/>
          <w:sz w:val="18"/>
          <w:szCs w:val="18"/>
        </w:rPr>
        <w:t xml:space="preserve">This is the minimum test of supply-side adoption because it demands the two things suppliers resist: price commitment and data discipline. A supplier who refreshes without being chased is voting that the channel creates commercial value; one who lets prices go stale (as feared with North Panels' manually relayed prices) falsifies the model. At least one supplier </w:t>
      </w:r>
      <w:r>
        <w:rPr>
          <w:rFonts w:ascii="Calibri" w:cs="Calibri" w:eastAsia="Calibri" w:hAnsi="Calibri"/>
          <w:b/>
          <w:bCs/>
          <w:color w:val="1A1A1A"/>
          <w:sz w:val="18"/>
          <w:szCs w:val="18"/>
        </w:rPr>
        <w:t xml:space="preserve">must not be Trinity Wood</w:t>
      </w:r>
      <w:r>
        <w:rPr>
          <w:rFonts w:ascii="Calibri" w:cs="Calibri" w:eastAsia="Calibri" w:hAnsi="Calibri"/>
          <w:color w:val="1A1A1A"/>
          <w:sz w:val="18"/>
          <w:szCs w:val="18"/>
        </w:rPr>
        <w:t xml:space="preserve"> — with Trinity alone, the pilot only digitizes Trinity's existing book and proves nothing about a marketplace.</w:t>
      </w:r>
    </w:p>
    <w:p>
      <w:pPr>
        <w:spacing w:after="40" w:before="130"/>
      </w:pPr>
      <w:r>
        <w:rPr>
          <w:rFonts w:ascii="Calibri" w:cs="Calibri" w:eastAsia="Calibri" w:hAnsi="Calibri"/>
          <w:b/>
          <w:bCs/>
          <w:color w:val="6B4A2B"/>
          <w:sz w:val="21"/>
          <w:szCs w:val="21"/>
        </w:rPr>
        <w:t xml:space="preserve">4. Marketplace Interaction</w:t>
      </w:r>
    </w:p>
    <w:p>
      <w:pPr>
        <w:spacing w:after="50" w:line="232" w:lineRule="auto"/>
      </w:pPr>
      <w:r>
        <w:rPr>
          <w:rFonts w:ascii="Calibri" w:cs="Calibri" w:eastAsia="Calibri" w:hAnsi="Calibri"/>
          <w:color w:val="1A1A1A"/>
          <w:sz w:val="18"/>
          <w:szCs w:val="18"/>
        </w:rPr>
        <w:t xml:space="preserve">The smallest complete loop: two suppliers post firm prices → the operator merges them into one anonymous list, cheapest supplier per SKU plus a fixed margin → the buyer orders from that list → the operator routes the order to the winning supplier, who confirms → fulfillment and invoicing run on existing off-platform rails; Wood-Matrix books the spread or ~1% commission. One order fulfilled by the non-Trinity supplier, accepted by a buyer who never learned who supplied it, is the entire marketplace in miniature — intermediation, anonymity, and price-based selection all exercised in one transaction. Everything behind the list is deliberately manual concierge work: the goal is learning, not software.</w:t>
      </w:r>
    </w:p>
    <w:p>
      <w:pPr>
        <w:spacing w:after="40" w:before="130"/>
      </w:pPr>
      <w:r>
        <w:rPr>
          <w:rFonts w:ascii="Calibri" w:cs="Calibri" w:eastAsia="Calibri" w:hAnsi="Calibri"/>
          <w:b/>
          <w:bCs/>
          <w:color w:val="6B4A2B"/>
          <w:sz w:val="21"/>
          <w:szCs w:val="21"/>
        </w:rPr>
        <w:t xml:space="preserve">5. What the MVP Must NOT Include</w:t>
      </w:r>
    </w:p>
    <w:p>
      <w:pPr>
        <w:pStyle w:val="ListParagraph"/>
        <w:numPr>
          <w:ilvl w:val="0"/>
          <w:numId w:val="2"/>
        </w:numPr>
        <w:spacing w:after="50" w:line="232" w:lineRule="auto"/>
      </w:pPr>
      <w:r>
        <w:rPr>
          <w:rFonts w:ascii="Calibri" w:cs="Calibri" w:eastAsia="Calibri" w:hAnsi="Calibri"/>
          <w:color w:val="1A1A1A"/>
          <w:sz w:val="18"/>
          <w:szCs w:val="18"/>
        </w:rPr>
        <w:t xml:space="preserve">The 27-screen platform: buyer/supplier/admin portals, dashboards, logins, and account systems.</w:t>
      </w:r>
    </w:p>
    <w:p>
      <w:pPr>
        <w:pStyle w:val="ListParagraph"/>
        <w:numPr>
          <w:ilvl w:val="0"/>
          <w:numId w:val="2"/>
        </w:numPr>
        <w:spacing w:after="50" w:line="232" w:lineRule="auto"/>
      </w:pPr>
      <w:r>
        <w:rPr>
          <w:rFonts w:ascii="Calibri" w:cs="Calibri" w:eastAsia="Calibri" w:hAnsi="Calibri"/>
          <w:color w:val="1A1A1A"/>
          <w:sz w:val="18"/>
          <w:szCs w:val="18"/>
        </w:rPr>
        <w:t xml:space="preserve">Payments, invoicing, logistics, or order tracking — existing rails handle all fulfillment.</w:t>
      </w:r>
    </w:p>
    <w:p>
      <w:pPr>
        <w:pStyle w:val="ListParagraph"/>
        <w:numPr>
          <w:ilvl w:val="0"/>
          <w:numId w:val="2"/>
        </w:numPr>
        <w:spacing w:after="50" w:line="232" w:lineRule="auto"/>
      </w:pPr>
      <w:r>
        <w:rPr>
          <w:rFonts w:ascii="Calibri" w:cs="Calibri" w:eastAsia="Calibri" w:hAnsi="Calibri"/>
          <w:color w:val="1A1A1A"/>
          <w:sz w:val="18"/>
          <w:szCs w:val="18"/>
        </w:rPr>
        <w:t xml:space="preserve">RFQ/production-order workflows, automated supplier selection, price engines, search, AI, analytics, or integrations.</w:t>
      </w:r>
    </w:p>
    <w:p>
      <w:pPr>
        <w:pStyle w:val="ListParagraph"/>
        <w:numPr>
          <w:ilvl w:val="0"/>
          <w:numId w:val="2"/>
        </w:numPr>
        <w:spacing w:after="50" w:line="232" w:lineRule="auto"/>
      </w:pPr>
      <w:r>
        <w:rPr>
          <w:rFonts w:ascii="Calibri" w:cs="Calibri" w:eastAsia="Calibri" w:hAnsi="Calibri"/>
          <w:color w:val="1A1A1A"/>
          <w:sz w:val="18"/>
          <w:szCs w:val="18"/>
        </w:rPr>
        <w:t xml:space="preserve">Catalog breadth beyond ~18 standard birch SKUs; more than 2 suppliers and 2–3 buyers; commission billing infrastructure.</w:t>
      </w:r>
    </w:p>
    <w:p>
      <w:pPr>
        <w:pStyle w:val="ListParagraph"/>
        <w:numPr>
          <w:ilvl w:val="0"/>
          <w:numId w:val="2"/>
        </w:numPr>
        <w:spacing w:after="50" w:line="232" w:lineRule="auto"/>
      </w:pPr>
      <w:r>
        <w:rPr>
          <w:rFonts w:ascii="Calibri" w:cs="Calibri" w:eastAsia="Calibri" w:hAnsi="Calibri"/>
          <w:color w:val="1A1A1A"/>
          <w:sz w:val="18"/>
          <w:szCs w:val="18"/>
        </w:rPr>
        <w:t xml:space="preserve">Waiting for a Supplier 2 portal: whoever can fill the standard sheet reliably (Palati over North Panels, on current evidence) is Supplier 2.</w:t>
      </w:r>
    </w:p>
    <w:p>
      <w:pPr>
        <w:spacing w:after="40" w:before="130"/>
      </w:pPr>
      <w:r>
        <w:rPr>
          <w:rFonts w:ascii="Calibri" w:cs="Calibri" w:eastAsia="Calibri" w:hAnsi="Calibri"/>
          <w:b/>
          <w:bCs/>
          <w:color w:val="6B4A2B"/>
          <w:sz w:val="21"/>
          <w:szCs w:val="21"/>
        </w:rPr>
        <w:t xml:space="preserve">6. Validation Evidence</w:t>
      </w:r>
    </w:p>
    <w:p>
      <w:pPr>
        <w:spacing w:after="50" w:line="232" w:lineRule="auto"/>
      </w:pPr>
      <w:r>
        <w:rPr>
          <w:rFonts w:ascii="Calibri" w:cs="Calibri" w:eastAsia="Calibri" w:hAnsi="Calibri"/>
          <w:b/>
          <w:bCs/>
          <w:color w:val="1A1A1A"/>
          <w:sz w:val="18"/>
          <w:szCs w:val="18"/>
        </w:rPr>
        <w:t xml:space="preserve">Problem is real: </w:t>
      </w:r>
      <w:r>
        <w:rPr>
          <w:rFonts w:ascii="Calibri" w:cs="Calibri" w:eastAsia="Calibri" w:hAnsi="Calibri"/>
          <w:color w:val="1A1A1A"/>
          <w:sz w:val="18"/>
          <w:szCs w:val="18"/>
        </w:rPr>
        <w:t xml:space="preserve">buyers check the live list unprompted (repeat visits/requests between orders) and place a first real order within ~2 weeks of access, without discounts or personal persuasion.</w:t>
      </w:r>
    </w:p>
    <w:p>
      <w:pPr>
        <w:spacing w:after="50" w:line="232" w:lineRule="auto"/>
      </w:pPr>
      <w:r>
        <w:rPr>
          <w:rFonts w:ascii="Calibri" w:cs="Calibri" w:eastAsia="Calibri" w:hAnsi="Calibri"/>
          <w:b/>
          <w:bCs/>
          <w:color w:val="1A1A1A"/>
          <w:sz w:val="18"/>
          <w:szCs w:val="18"/>
        </w:rPr>
        <w:t xml:space="preserve">Adoption: </w:t>
      </w:r>
      <w:r>
        <w:rPr>
          <w:rFonts w:ascii="Calibri" w:cs="Calibri" w:eastAsia="Calibri" w:hAnsi="Calibri"/>
          <w:color w:val="1A1A1A"/>
          <w:sz w:val="18"/>
          <w:szCs w:val="18"/>
        </w:rPr>
        <w:t xml:space="preserve">each pilot buyer places 3+ orders through the channel while direct channels stay open; at least one order is fulfilled by the non-Trinity supplier and accepted despite anonymity; both suppliers hit their weekly price refresh unprompted after week 2.</w:t>
      </w:r>
    </w:p>
    <w:p>
      <w:pPr>
        <w:spacing w:after="50" w:line="232" w:lineRule="auto"/>
      </w:pPr>
      <w:r>
        <w:rPr>
          <w:rFonts w:ascii="Calibri" w:cs="Calibri" w:eastAsia="Calibri" w:hAnsi="Calibri"/>
          <w:b/>
          <w:bCs/>
          <w:color w:val="1A1A1A"/>
          <w:sz w:val="18"/>
          <w:szCs w:val="18"/>
        </w:rPr>
        <w:t xml:space="preserve">Scalability: </w:t>
      </w:r>
      <w:r>
        <w:rPr>
          <w:rFonts w:ascii="Calibri" w:cs="Calibri" w:eastAsia="Calibri" w:hAnsi="Calibri"/>
          <w:color w:val="1A1A1A"/>
          <w:sz w:val="18"/>
          <w:szCs w:val="18"/>
        </w:rPr>
        <w:t xml:space="preserve">a third supplier can be onboarded with the same sheet template in under a day; operator handling time per order stays flat or falls as volume grows; zero pricing errors reach buyers. If every order or refresh needs chasing, the model does not scale regardless of software.</w:t>
      </w:r>
    </w:p>
    <w:p>
      <w:pPr>
        <w:spacing w:after="40" w:before="130"/>
      </w:pPr>
      <w:r>
        <w:rPr>
          <w:rFonts w:ascii="Calibri" w:cs="Calibri" w:eastAsia="Calibri" w:hAnsi="Calibri"/>
          <w:b/>
          <w:bCs/>
          <w:color w:val="6B4A2B"/>
          <w:sz w:val="21"/>
          <w:szCs w:val="21"/>
        </w:rPr>
        <w:t xml:space="preserve">7. MVP in One Sentence</w:t>
      </w:r>
    </w:p>
    <w:p>
      <w:pPr>
        <w:spacing w:after="50" w:line="232" w:lineRule="auto"/>
      </w:pPr>
      <w:r>
        <w:rPr>
          <w:rFonts w:ascii="Calibri" w:cs="Calibri" w:eastAsia="Calibri" w:hAnsi="Calibri"/>
          <w:i/>
          <w:iCs/>
          <w:color w:val="1A1A1A"/>
          <w:sz w:val="18"/>
          <w:szCs w:val="18"/>
        </w:rPr>
        <w:t xml:space="preserve">A single live, supplier-anonymous price-and-stock list of ~18 birch plywood SKUs, fed weekly by Trinity plus one independent supplier and margin-priced by hand, from which two existing buyers place real orders that an operator manually routes to the cheapest supplier for off-platform fulfillment.</w:t>
      </w:r>
    </w:p>
    <w:sectPr>
      <w:pgSz w:w="11906" w:h="16838" w:orient="portrait"/>
      <w:pgMar w:top="620" w:right="900" w:bottom="5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2026-08-19T12:06:29.572Z</dcterms:created>
  <dcterms:modified xsi:type="dcterms:W3CDTF">2026-08-19T12:06:29.573Z</dcterms:modified>
</cp:coreProperties>
</file>

<file path=docProps/custom.xml><?xml version="1.0" encoding="utf-8"?>
<Properties xmlns="http://schemas.openxmlformats.org/officeDocument/2006/custom-properties" xmlns:vt="http://schemas.openxmlformats.org/officeDocument/2006/docPropsVTypes"/>
</file>