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40"/>
        <w:jc w:val="center"/>
      </w:pPr>
      <w:r>
        <w:rPr>
          <w:rFonts w:ascii="Calibri" w:cs="Calibri" w:eastAsia="Calibri" w:hAnsi="Calibri"/>
          <w:b/>
          <w:bCs/>
          <w:color w:val="0F6E56"/>
          <w:spacing w:val="40"/>
          <w:sz w:val="24"/>
          <w:szCs w:val="24"/>
        </w:rPr>
        <w:t xml:space="preserve">PRODUCTION REQUIREMENTS DOCUMENT</w:t>
      </w:r>
    </w:p>
    <w:p>
      <w:pPr>
        <w:spacing w:after="60" w:before="120"/>
        <w:jc w:val="center"/>
      </w:pPr>
      <w:r>
        <w:rPr>
          <w:rFonts w:ascii="Calibri" w:cs="Calibri" w:eastAsia="Calibri" w:hAnsi="Calibri"/>
          <w:b/>
          <w:bCs/>
          <w:color w:val="0F5132"/>
          <w:sz w:val="68"/>
          <w:szCs w:val="68"/>
        </w:rPr>
        <w:t xml:space="preserve">TrustMediator</w:t>
      </w:r>
    </w:p>
    <w:p>
      <w:pPr>
        <w:spacing w:after="40"/>
        <w:jc w:val="center"/>
      </w:pPr>
      <w:r>
        <w:rPr>
          <w:rFonts w:ascii="Calibri" w:cs="Calibri" w:eastAsia="Calibri" w:hAnsi="Calibri"/>
          <w:color w:val="1A1A17"/>
          <w:sz w:val="28"/>
          <w:szCs w:val="28"/>
        </w:rPr>
        <w:t xml:space="preserve">A Trust-Aware Context Mediation Middleware</w:t>
      </w:r>
    </w:p>
    <w:p>
      <w:pPr>
        <w:spacing w:after="500"/>
        <w:jc w:val="center"/>
      </w:pPr>
      <w:r>
        <w:rPr>
          <w:rFonts w:ascii="Calibri" w:cs="Calibri" w:eastAsia="Calibri" w:hAnsi="Calibri"/>
          <w:color w:val="1A1A17"/>
          <w:sz w:val="28"/>
          <w:szCs w:val="28"/>
        </w:rPr>
        <w:t xml:space="preserve">for Securing Agentic AI and RAG Systems</w:t>
      </w:r>
    </w:p>
    <w:p>
      <w:pPr>
        <w:pBdr>
          <w:bottom w:val="single" w:color="0F6E56" w:sz="6" w:space="4"/>
        </w:pBdr>
        <w:spacing w:after="400"/>
        <w:jc w:val="center"/>
      </w:pPr>
      <w:r>
        <w:rPr>
          <w:sz w:val="2"/>
          <w:szCs w:val="2"/>
        </w:rPr>
        <w:t xml:space="preserve"/>
      </w:r>
    </w:p>
    <w:tbl>
      <w:tblPr>
        <w:tblW w:type="dxa" w:w="7800"/>
        <w:jc w:val="center"/>
        <w:tblBorders>
          <w:top w:val="none" w:color="FFFFFF" w:sz="0"/>
          <w:left w:val="none" w:color="FFFFFF" w:sz="0"/>
          <w:bottom w:val="none" w:color="FFFFFF" w:sz="0"/>
          <w:right w:val="none" w:color="FFFFFF" w:sz="0"/>
          <w:insideH w:val="single" w:color="auto" w:sz="4"/>
          <w:insideV w:val="single" w:color="auto" w:sz="4"/>
        </w:tblBorders>
      </w:tblPr>
      <w:tblGrid>
        <w:gridCol w:w="2600"/>
        <w:gridCol w:w="520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line="250"/>
            </w:pPr>
            <w:r>
              <w:rPr>
                <w:rFonts w:ascii="Calibri" w:cs="Calibri" w:eastAsia="Calibri" w:hAnsi="Calibri"/>
                <w:b/>
                <w:bCs/>
                <w:color w:val="5F5E5A"/>
                <w:sz w:val="19"/>
                <w:szCs w:val="19"/>
              </w:rPr>
              <w:t xml:space="preserve">Document type</w:t>
            </w:r>
          </w:p>
        </w:tc>
        <w:tc>
          <w:tcPr>
            <w:tcW w:type="dxa" w:w="5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250"/>
            </w:pPr>
            <w:r>
              <w:rPr>
                <w:rFonts w:ascii="Calibri" w:cs="Calibri" w:eastAsia="Calibri" w:hAnsi="Calibri"/>
                <w:color w:val="1A1A17"/>
                <w:sz w:val="19"/>
                <w:szCs w:val="19"/>
              </w:rPr>
              <w:t xml:space="preserve">Production Requirements Document (PRD) v1.0</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line="250"/>
            </w:pPr>
            <w:r>
              <w:rPr>
                <w:rFonts w:ascii="Calibri" w:cs="Calibri" w:eastAsia="Calibri" w:hAnsi="Calibri"/>
                <w:b/>
                <w:bCs/>
                <w:color w:val="5F5E5A"/>
                <w:sz w:val="19"/>
                <w:szCs w:val="19"/>
              </w:rPr>
              <w:t xml:space="preserve">System</w:t>
            </w:r>
          </w:p>
        </w:tc>
        <w:tc>
          <w:tcPr>
            <w:tcW w:type="dxa" w:w="5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250"/>
            </w:pPr>
            <w:r>
              <w:rPr>
                <w:rFonts w:ascii="Calibri" w:cs="Calibri" w:eastAsia="Calibri" w:hAnsi="Calibri"/>
                <w:color w:val="1A1A17"/>
                <w:sz w:val="19"/>
                <w:szCs w:val="19"/>
              </w:rPr>
              <w:t xml:space="preserve">TrustMediator — security mediation layer for LLM agents</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line="250"/>
            </w:pPr>
            <w:r>
              <w:rPr>
                <w:rFonts w:ascii="Calibri" w:cs="Calibri" w:eastAsia="Calibri" w:hAnsi="Calibri"/>
                <w:b/>
                <w:bCs/>
                <w:color w:val="5F5E5A"/>
                <w:sz w:val="19"/>
                <w:szCs w:val="19"/>
              </w:rPr>
              <w:t xml:space="preserve">Status</w:t>
            </w:r>
          </w:p>
        </w:tc>
        <w:tc>
          <w:tcPr>
            <w:tcW w:type="dxa" w:w="5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250"/>
            </w:pPr>
            <w:r>
              <w:rPr>
                <w:rFonts w:ascii="Calibri" w:cs="Calibri" w:eastAsia="Calibri" w:hAnsi="Calibri"/>
                <w:color w:val="1A1A17"/>
                <w:sz w:val="19"/>
                <w:szCs w:val="19"/>
              </w:rPr>
              <w:t xml:space="preserve">Draft for review</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line="250"/>
            </w:pPr>
            <w:r>
              <w:rPr>
                <w:rFonts w:ascii="Calibri" w:cs="Calibri" w:eastAsia="Calibri" w:hAnsi="Calibri"/>
                <w:b/>
                <w:bCs/>
                <w:color w:val="5F5E5A"/>
                <w:sz w:val="19"/>
                <w:szCs w:val="19"/>
              </w:rPr>
              <w:t xml:space="preserve">Date</w:t>
            </w:r>
          </w:p>
        </w:tc>
        <w:tc>
          <w:tcPr>
            <w:tcW w:type="dxa" w:w="5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250"/>
            </w:pPr>
            <w:r>
              <w:rPr>
                <w:rFonts w:ascii="Calibri" w:cs="Calibri" w:eastAsia="Calibri" w:hAnsi="Calibri"/>
                <w:color w:val="1A1A17"/>
                <w:sz w:val="19"/>
                <w:szCs w:val="19"/>
              </w:rPr>
              <w:t xml:space="preserve">16 July 2026</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line="250"/>
            </w:pPr>
            <w:r>
              <w:rPr>
                <w:rFonts w:ascii="Calibri" w:cs="Calibri" w:eastAsia="Calibri" w:hAnsi="Calibri"/>
                <w:b/>
                <w:bCs/>
                <w:color w:val="5F5E5A"/>
                <w:sz w:val="19"/>
                <w:szCs w:val="19"/>
              </w:rPr>
              <w:t xml:space="preserve">Classification</w:t>
            </w:r>
          </w:p>
        </w:tc>
        <w:tc>
          <w:tcPr>
            <w:tcW w:type="dxa" w:w="5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250"/>
            </w:pPr>
            <w:r>
              <w:rPr>
                <w:rFonts w:ascii="Calibri" w:cs="Calibri" w:eastAsia="Calibri" w:hAnsi="Calibri"/>
                <w:color w:val="1A1A17"/>
                <w:sz w:val="19"/>
                <w:szCs w:val="19"/>
              </w:rPr>
              <w:t xml:space="preserve">Internal / Academic research project</w:t>
            </w:r>
          </w:p>
        </w:tc>
      </w:tr>
    </w:tbl>
    <w:p>
      <w:r>
        <w:br w:type="page"/>
      </w:r>
    </w:p>
    <w:p>
      <w:pPr>
        <w:pStyle w:val="Heading1"/>
        <w:spacing w:after="140" w:before="320"/>
      </w:pPr>
      <w:r>
        <w:rPr>
          <w:rFonts w:ascii="Calibri" w:cs="Calibri" w:eastAsia="Calibri" w:hAnsi="Calibri"/>
          <w:b/>
          <w:bCs/>
          <w:color w:val="0F5132"/>
          <w:sz w:val="30"/>
          <w:szCs w:val="30"/>
        </w:rPr>
        <w:t xml:space="preserve">Document control</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00"/>
        <w:gridCol w:w="1500"/>
        <w:gridCol w:w="2500"/>
        <w:gridCol w:w="4160"/>
      </w:tblGrid>
      <w:tr>
        <w:trPr>
          <w:tblHeader/>
        </w:trPr>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Version</w:t>
            </w:r>
          </w:p>
        </w:tc>
        <w:tc>
          <w:tcPr>
            <w:tcW w:type="dxa" w:w="15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Date</w:t>
            </w:r>
          </w:p>
        </w:tc>
        <w:tc>
          <w:tcPr>
            <w:tcW w:type="dxa" w:w="25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Author / owner</w:t>
            </w:r>
          </w:p>
        </w:tc>
        <w:tc>
          <w:tcPr>
            <w:tcW w:type="dxa" w:w="41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Summary of changes</w:t>
            </w:r>
          </w:p>
        </w:tc>
      </w:tr>
      <w:tr>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0.1</w:t>
            </w:r>
          </w:p>
        </w:tc>
        <w:tc>
          <w:tcPr>
            <w:tcW w:type="dxa" w:w="15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10 Jul 2026</w:t>
            </w:r>
          </w:p>
        </w:tc>
        <w:tc>
          <w:tcPr>
            <w:tcW w:type="dxa" w:w="25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Project lead</w:t>
            </w:r>
          </w:p>
        </w:tc>
        <w:tc>
          <w:tcPr>
            <w:tcW w:type="dxa" w:w="41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Initial concept and scope from research review.</w:t>
            </w:r>
          </w:p>
        </w:tc>
      </w:tr>
      <w:tr>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0.5</w:t>
            </w:r>
          </w:p>
        </w:tc>
        <w:tc>
          <w:tcPr>
            <w:tcW w:type="dxa" w:w="15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13 Jul 2026</w:t>
            </w:r>
          </w:p>
        </w:tc>
        <w:tc>
          <w:tcPr>
            <w:tcW w:type="dxa" w:w="25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Project lead</w:t>
            </w:r>
          </w:p>
        </w:tc>
        <w:tc>
          <w:tcPr>
            <w:tcW w:type="dxa" w:w="41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Added component specification and NFRs.</w:t>
            </w:r>
          </w:p>
        </w:tc>
      </w:tr>
      <w:tr>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1.0</w:t>
            </w:r>
          </w:p>
        </w:tc>
        <w:tc>
          <w:tcPr>
            <w:tcW w:type="dxa" w:w="15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16 Jul 2026</w:t>
            </w:r>
          </w:p>
        </w:tc>
        <w:tc>
          <w:tcPr>
            <w:tcW w:type="dxa" w:w="25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Project lead</w:t>
            </w:r>
          </w:p>
        </w:tc>
        <w:tc>
          <w:tcPr>
            <w:tcW w:type="dxa" w:w="41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Full architecture, requirements, evaluation plan; released for review.</w:t>
            </w:r>
          </w:p>
        </w:tc>
      </w:tr>
    </w:tbl>
    <w:p>
      <w:pPr>
        <w:spacing w:after="120"/>
      </w:pPr>
    </w:p>
    <w:p>
      <w:pPr>
        <w:spacing w:after="120" w:line="276"/>
      </w:pPr>
      <w:r>
        <w:rPr>
          <w:rFonts w:ascii="Calibri" w:cs="Calibri" w:eastAsia="Calibri" w:hAnsi="Calibri"/>
          <w:b/>
          <w:bCs/>
          <w:color w:val="1A1A17"/>
          <w:sz w:val="21"/>
          <w:szCs w:val="21"/>
        </w:rPr>
        <w:t xml:space="preserve">Reviewers / approvers: </w:t>
      </w:r>
      <w:r>
        <w:rPr>
          <w:rFonts w:ascii="Calibri" w:cs="Calibri" w:eastAsia="Calibri" w:hAnsi="Calibri"/>
          <w:color w:val="1A1A17"/>
          <w:sz w:val="21"/>
          <w:szCs w:val="21"/>
        </w:rPr>
        <w:t xml:space="preserve">Academic supervisor (research sign-off), security reviewer (threat-model sign-off), engineering reviewer (production-readiness sign-off). This document is the single source of truth for TrustMediator functional and non-functional requirements; changes are tracked in the table above.</w:t>
      </w:r>
    </w:p>
    <w:p>
      <w:pPr>
        <w:pStyle w:val="Heading1"/>
        <w:spacing w:after="140" w:before="320"/>
      </w:pPr>
      <w:r>
        <w:rPr>
          <w:rFonts w:ascii="Calibri" w:cs="Calibri" w:eastAsia="Calibri" w:hAnsi="Calibri"/>
          <w:b/>
          <w:bCs/>
          <w:color w:val="0F513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0F5132"/>
          <w:sz w:val="30"/>
          <w:szCs w:val="30"/>
        </w:rPr>
        <w:t xml:space="preserve">1. Executive summary</w:t>
      </w:r>
    </w:p>
    <w:p>
      <w:pPr>
        <w:spacing w:after="120" w:line="276"/>
      </w:pPr>
      <w:r>
        <w:rPr>
          <w:rFonts w:ascii="Calibri" w:cs="Calibri" w:eastAsia="Calibri" w:hAnsi="Calibri"/>
          <w:color w:val="1A1A17"/>
          <w:sz w:val="21"/>
          <w:szCs w:val="21"/>
        </w:rPr>
        <w:t xml:space="preserve">TrustMediator is a lightweight, framework-agnostic middleware that sits between a large language model (LLM) agent and everything it reads or acts on — user queries, retrieved documents, tool outputs, long-term memory, and outgoing actions. LLMs cannot reliably tell instructions apart from data, so any untrusted content an agent ingests can hijack its behaviour. Once an agent has tools (sending email, executing code, moving money), a successful injection is no longer an embarrassing answer; it is an unauthorised action taken with the agent's full privileges.</w:t>
      </w:r>
    </w:p>
    <w:p>
      <w:pPr>
        <w:spacing w:after="120" w:line="276"/>
      </w:pPr>
      <w:r>
        <w:rPr>
          <w:rFonts w:ascii="Calibri" w:cs="Calibri" w:eastAsia="Calibri" w:hAnsi="Calibri"/>
          <w:color w:val="1A1A17"/>
          <w:sz w:val="21"/>
          <w:szCs w:val="21"/>
        </w:rPr>
        <w:t xml:space="preserve">The industry consensus in 2026 is that prompt injection is unsolved at the model layer, so the working strategy is containment: assume some injections will land and ensure a landed injection cannot do much. TrustMediator operationalises that strategy as a reusable layer rather than something every application team re-implements. It classifies every piece of context by trust and provenance, scans untrusted content for injected instructions, enforces least-agency policy on every tool call, vets every write to long-term memory before it can persist, and redacts sensitive data from outgoing actions — while logging a full, replayable provenance trail.</w:t>
      </w:r>
    </w:p>
    <w:p>
      <w:pPr>
        <w:spacing w:after="120" w:line="276"/>
      </w:pPr>
      <w:r>
        <w:rPr>
          <w:rFonts w:ascii="Calibri" w:cs="Calibri" w:eastAsia="Calibri" w:hAnsi="Calibri"/>
          <w:b/>
          <w:bCs/>
          <w:color w:val="1A1A17"/>
          <w:sz w:val="21"/>
          <w:szCs w:val="21"/>
        </w:rPr>
        <w:t xml:space="preserve">Primary contribution. </w:t>
      </w:r>
      <w:r>
        <w:rPr>
          <w:rFonts w:ascii="Calibri" w:cs="Calibri" w:eastAsia="Calibri" w:hAnsi="Calibri"/>
          <w:color w:val="1A1A17"/>
          <w:sz w:val="21"/>
          <w:szCs w:val="21"/>
        </w:rPr>
        <w:t xml:space="preserve">Existing open frameworks (Meta's LlamaFirewall) focus on detection guardrails; design-based defences (Google DeepMind's CaMeL) separate control from data flow but trade utility. Long-term agent memory remains the least-defended attack surface in the literature. TrustMediator's differentiator is a dedicated </w:t>
      </w:r>
      <w:r>
        <w:rPr>
          <w:rFonts w:ascii="Calibri" w:cs="Calibri" w:eastAsia="Calibri" w:hAnsi="Calibri"/>
          <w:b/>
          <w:bCs/>
          <w:color w:val="0F6E56"/>
          <w:sz w:val="21"/>
          <w:szCs w:val="21"/>
        </w:rPr>
        <w:t xml:space="preserve">memory integrity layer</w:t>
      </w:r>
      <w:r>
        <w:rPr>
          <w:rFonts w:ascii="Calibri" w:cs="Calibri" w:eastAsia="Calibri" w:hAnsi="Calibri"/>
          <w:color w:val="1A1A17"/>
          <w:sz w:val="21"/>
          <w:szCs w:val="21"/>
        </w:rPr>
        <w:t xml:space="preserve"> that quarantines, cross-checks, and scores candidate memory writes to block persistent poisoning, evaluated jointly with injection and tool-misuse defences on standard agent benchmarks plus a purpose-built memory-poisoning testbed.</w:t>
      </w:r>
    </w:p>
    <w:p>
      <w:pPr>
        <w:spacing w:after="120" w:line="276"/>
      </w:pPr>
      <w:r>
        <w:rPr>
          <w:rFonts w:ascii="Calibri" w:cs="Calibri" w:eastAsia="Calibri" w:hAnsi="Calibri"/>
          <w:color w:val="1A1A17"/>
          <w:sz w:val="21"/>
          <w:szCs w:val="21"/>
        </w:rPr>
        <w:t xml:space="preserve">This document specifies the production system: architecture, the eight components, functional and non-functional requirements, the trust model, deployment topology, the fail-open/fail-closed policy, the API surface, the technology stack, a mapping to the OWASP Top 10 for Agentic Applications (2026), an evaluation and acceptance plan with quantitative targets, a risk register, and a phased delivery timeline.</w:t>
      </w:r>
    </w:p>
    <w:p>
      <w:pPr>
        <w:pStyle w:val="Heading1"/>
        <w:spacing w:after="140" w:before="320"/>
      </w:pPr>
      <w:r>
        <w:rPr>
          <w:rFonts w:ascii="Calibri" w:cs="Calibri" w:eastAsia="Calibri" w:hAnsi="Calibri"/>
          <w:b/>
          <w:bCs/>
          <w:color w:val="0F5132"/>
          <w:sz w:val="30"/>
          <w:szCs w:val="30"/>
        </w:rPr>
        <w:t xml:space="preserve">2. Background and problem statement</w:t>
      </w:r>
    </w:p>
    <w:p>
      <w:pPr>
        <w:pStyle w:val="Heading2"/>
        <w:spacing w:after="100" w:before="240"/>
      </w:pPr>
      <w:r>
        <w:rPr>
          <w:rFonts w:ascii="Calibri" w:cs="Calibri" w:eastAsia="Calibri" w:hAnsi="Calibri"/>
          <w:b/>
          <w:bCs/>
          <w:color w:val="0F6E56"/>
          <w:sz w:val="25"/>
          <w:szCs w:val="25"/>
        </w:rPr>
        <w:t xml:space="preserve">2.1 The agentic security problem</w:t>
      </w:r>
    </w:p>
    <w:p>
      <w:pPr>
        <w:spacing w:after="120" w:line="276"/>
      </w:pPr>
      <w:r>
        <w:rPr>
          <w:rFonts w:ascii="Calibri" w:cs="Calibri" w:eastAsia="Calibri" w:hAnsi="Calibri"/>
          <w:color w:val="1A1A17"/>
          <w:sz w:val="21"/>
          <w:szCs w:val="21"/>
        </w:rPr>
        <w:t xml:space="preserve">A traditional LLM chatbot produces text. An agentic system goes further: it plans, decides, calls tools, reads and writes memory, and coordinates with other agents — often without a human approving each step. This autonomy is exactly what creates the risk. The threat is not what the agent says but what it does: the tools it invokes, the systems it reaches, and the decisions it chains together.</w:t>
      </w:r>
    </w:p>
    <w:p>
      <w:pPr>
        <w:spacing w:after="120" w:line="276"/>
      </w:pPr>
      <w:r>
        <w:rPr>
          <w:rFonts w:ascii="Calibri" w:cs="Calibri" w:eastAsia="Calibri" w:hAnsi="Calibri"/>
          <w:color w:val="1A1A17"/>
          <w:sz w:val="21"/>
          <w:szCs w:val="21"/>
        </w:rPr>
        <w:t xml:space="preserve">The root cause is architectural, not a fixable bug: language models have no reliable notion of untrusted content, so any text they process — a web page, an email, a retrieved document, a memory entry — can be interpreted as an instruction. Prompt injection has consistently topped the OWASP LLM Top 10, reported injection attempts against enterprise AI rose sharply through 2025-2026, and the most dangerous variant is indirect injection: instructions hidden inside content the agent retrieves rather than typed by the user.</w:t>
      </w:r>
    </w:p>
    <w:p>
      <w:pPr>
        <w:pStyle w:val="Heading2"/>
        <w:spacing w:after="100" w:before="240"/>
      </w:pPr>
      <w:r>
        <w:rPr>
          <w:rFonts w:ascii="Calibri" w:cs="Calibri" w:eastAsia="Calibri" w:hAnsi="Calibri"/>
          <w:b/>
          <w:bCs/>
          <w:color w:val="0F6E56"/>
          <w:sz w:val="25"/>
          <w:szCs w:val="25"/>
        </w:rPr>
        <w:t xml:space="preserve">2.2 Why existing approaches fall short</w:t>
      </w:r>
    </w:p>
    <w:p>
      <w:pPr>
        <w:pStyle w:val="ListParagraph"/>
        <w:numPr>
          <w:ilvl w:val="0"/>
          <w:numId w:val="2"/>
        </w:numPr>
        <w:spacing w:after="60" w:line="272"/>
      </w:pPr>
      <w:r>
        <w:rPr>
          <w:rFonts w:ascii="Calibri" w:cs="Calibri" w:eastAsia="Calibri" w:hAnsi="Calibri"/>
          <w:b/>
          <w:bCs/>
          <w:color w:val="1A1A17"/>
          <w:sz w:val="21"/>
          <w:szCs w:val="21"/>
        </w:rPr>
        <w:t xml:space="preserve">Detection-only classifiers are necessary but insufficient. </w:t>
      </w:r>
      <w:r>
        <w:rPr>
          <w:rFonts w:ascii="Calibri" w:cs="Calibri" w:eastAsia="Calibri" w:hAnsi="Calibri"/>
          <w:color w:val="1A1A17"/>
          <w:sz w:val="21"/>
          <w:szCs w:val="21"/>
        </w:rPr>
        <w:t xml:space="preserve">Adaptive attacks defeat static filters, and embedding-based detection collapses when benign and malicious content occupy overlapping regions of embedding space. A detector that is right 95% of the time still lets a determined attacker through.</w:t>
      </w:r>
    </w:p>
    <w:p>
      <w:pPr>
        <w:pStyle w:val="ListParagraph"/>
        <w:numPr>
          <w:ilvl w:val="0"/>
          <w:numId w:val="2"/>
        </w:numPr>
        <w:spacing w:after="60" w:line="272"/>
      </w:pPr>
      <w:r>
        <w:rPr>
          <w:rFonts w:ascii="Calibri" w:cs="Calibri" w:eastAsia="Calibri" w:hAnsi="Calibri"/>
          <w:b/>
          <w:bCs/>
          <w:color w:val="1A1A17"/>
          <w:sz w:val="21"/>
          <w:szCs w:val="21"/>
        </w:rPr>
        <w:t xml:space="preserve">Model-level training helps but cannot bear the weight. </w:t>
      </w:r>
      <w:r>
        <w:rPr>
          <w:rFonts w:ascii="Calibri" w:cs="Calibri" w:eastAsia="Calibri" w:hAnsi="Calibri"/>
          <w:color w:val="1A1A17"/>
          <w:sz w:val="21"/>
          <w:szCs w:val="21"/>
        </w:rPr>
        <w:t xml:space="preserve">Safety training raises the cost of attack but is not a substitute for architectural controls; a regulator will not accept “the model was instructed not to” as a control.</w:t>
      </w:r>
    </w:p>
    <w:p>
      <w:pPr>
        <w:pStyle w:val="ListParagraph"/>
        <w:numPr>
          <w:ilvl w:val="0"/>
          <w:numId w:val="2"/>
        </w:numPr>
        <w:spacing w:after="60" w:line="272"/>
      </w:pPr>
      <w:r>
        <w:rPr>
          <w:rFonts w:ascii="Calibri" w:cs="Calibri" w:eastAsia="Calibri" w:hAnsi="Calibri"/>
          <w:b/>
          <w:bCs/>
          <w:color w:val="1A1A17"/>
          <w:sz w:val="21"/>
          <w:szCs w:val="21"/>
        </w:rPr>
        <w:t xml:space="preserve">Design-based isolation trades utility. </w:t>
      </w:r>
      <w:r>
        <w:rPr>
          <w:rFonts w:ascii="Calibri" w:cs="Calibri" w:eastAsia="Calibri" w:hAnsi="Calibri"/>
          <w:color w:val="1A1A17"/>
          <w:sz w:val="21"/>
          <w:szCs w:val="21"/>
        </w:rPr>
        <w:t xml:space="preserve">Separating control flow from data flow provides strong guarantees but reduces task completion and constrains agent flexibility.</w:t>
      </w:r>
    </w:p>
    <w:p>
      <w:pPr>
        <w:pStyle w:val="ListParagraph"/>
        <w:numPr>
          <w:ilvl w:val="0"/>
          <w:numId w:val="2"/>
        </w:numPr>
        <w:spacing w:after="60" w:line="272"/>
      </w:pPr>
      <w:r>
        <w:rPr>
          <w:rFonts w:ascii="Calibri" w:cs="Calibri" w:eastAsia="Calibri" w:hAnsi="Calibri"/>
          <w:b/>
          <w:bCs/>
          <w:color w:val="1A1A17"/>
          <w:sz w:val="21"/>
          <w:szCs w:val="21"/>
        </w:rPr>
        <w:t xml:space="preserve">Memory is largely undefended. </w:t>
      </w:r>
      <w:r>
        <w:rPr>
          <w:rFonts w:ascii="Calibri" w:cs="Calibri" w:eastAsia="Calibri" w:hAnsi="Calibri"/>
          <w:color w:val="1A1A17"/>
          <w:sz w:val="21"/>
          <w:szCs w:val="21"/>
        </w:rPr>
        <w:t xml:space="preserve">Persistent memory lets an attacker poison the agent once and influence many future sessions; defences against memory poisoning remain understudied, and recent work explicitly calls for memory-level integrity safeguards.</w:t>
      </w:r>
    </w:p>
    <w:p>
      <w:pPr>
        <w:pStyle w:val="Heading2"/>
        <w:spacing w:after="100" w:before="240"/>
      </w:pPr>
      <w:r>
        <w:rPr>
          <w:rFonts w:ascii="Calibri" w:cs="Calibri" w:eastAsia="Calibri" w:hAnsi="Calibri"/>
          <w:b/>
          <w:bCs/>
          <w:color w:val="0F6E56"/>
          <w:sz w:val="25"/>
          <w:szCs w:val="25"/>
        </w:rPr>
        <w:t xml:space="preserve">2.3 Prior art and positioning</w:t>
      </w:r>
    </w:p>
    <w:p>
      <w:pPr>
        <w:spacing w:after="120" w:line="276"/>
      </w:pPr>
      <w:r>
        <w:rPr>
          <w:rFonts w:ascii="Calibri" w:cs="Calibri" w:eastAsia="Calibri" w:hAnsi="Calibri"/>
          <w:color w:val="1A1A17"/>
          <w:sz w:val="21"/>
          <w:szCs w:val="21"/>
        </w:rPr>
        <w:t xml:space="preserve">TrustMediator is deliberately not framed as “the first agent firewall.” Two systems define the space it builds on:</w:t>
      </w:r>
    </w:p>
    <w:p>
      <w:pPr>
        <w:pStyle w:val="ListParagraph"/>
        <w:numPr>
          <w:ilvl w:val="0"/>
          <w:numId w:val="2"/>
        </w:numPr>
        <w:spacing w:after="60" w:line="272"/>
      </w:pPr>
      <w:r>
        <w:rPr>
          <w:rFonts w:ascii="Calibri" w:cs="Calibri" w:eastAsia="Calibri" w:hAnsi="Calibri"/>
          <w:b/>
          <w:bCs/>
          <w:color w:val="1A1A17"/>
          <w:sz w:val="21"/>
          <w:szCs w:val="21"/>
        </w:rPr>
        <w:t xml:space="preserve">LlamaFirewall </w:t>
      </w:r>
      <w:r>
        <w:rPr>
          <w:rFonts w:ascii="Calibri" w:cs="Calibri" w:eastAsia="Calibri" w:hAnsi="Calibri"/>
          <w:color w:val="1A1A17"/>
          <w:sz w:val="21"/>
          <w:szCs w:val="21"/>
        </w:rPr>
        <w:t xml:space="preserve">(Meta, open source): a real-time guardrail framework with a jailbreak/injection detector, a chain-of-thought alignment auditor, and a static-analysis engine for generated code. Strong on detection; not focused on memory integrity or capability-based tool policy.</w:t>
      </w:r>
    </w:p>
    <w:p>
      <w:pPr>
        <w:pStyle w:val="ListParagraph"/>
        <w:numPr>
          <w:ilvl w:val="0"/>
          <w:numId w:val="2"/>
        </w:numPr>
        <w:spacing w:after="60" w:line="272"/>
      </w:pPr>
      <w:r>
        <w:rPr>
          <w:rFonts w:ascii="Calibri" w:cs="Calibri" w:eastAsia="Calibri" w:hAnsi="Calibri"/>
          <w:b/>
          <w:bCs/>
          <w:color w:val="1A1A17"/>
          <w:sz w:val="21"/>
          <w:szCs w:val="21"/>
        </w:rPr>
        <w:t xml:space="preserve">CaMeL </w:t>
      </w:r>
      <w:r>
        <w:rPr>
          <w:rFonts w:ascii="Calibri" w:cs="Calibri" w:eastAsia="Calibri" w:hAnsi="Calibri"/>
          <w:color w:val="1A1A17"/>
          <w:sz w:val="21"/>
          <w:szCs w:val="21"/>
        </w:rPr>
        <w:t xml:space="preserve">(Google DeepMind): extracts control and data flow from the trusted query so untrusted data can never influence program flow, enforcing capability policies at tool-call time. Strong guarantees; utility cost and requires a custom interpreter.</w:t>
      </w:r>
    </w:p>
    <w:p>
      <w:pPr>
        <w:spacing w:after="120" w:line="276"/>
      </w:pPr>
      <w:r>
        <w:rPr>
          <w:rFonts w:ascii="Calibri" w:cs="Calibri" w:eastAsia="Calibri" w:hAnsi="Calibri"/>
          <w:b/>
          <w:bCs/>
          <w:color w:val="1A1A17"/>
          <w:sz w:val="21"/>
          <w:szCs w:val="21"/>
        </w:rPr>
        <w:t xml:space="preserve">TrustMediator's position: </w:t>
      </w:r>
      <w:r>
        <w:rPr>
          <w:rFonts w:ascii="Calibri" w:cs="Calibri" w:eastAsia="Calibri" w:hAnsi="Calibri"/>
          <w:color w:val="1A1A17"/>
          <w:sz w:val="21"/>
          <w:szCs w:val="21"/>
        </w:rPr>
        <w:t xml:space="preserve">a lightweight, open, framework-agnostic middleware that unifies injection scanning, taint-based trust routing, and least-agency tool policy with a dedicated memory-write integrity module, evaluated on AgentDojo and InjecAgent plus a memory-poisoning testbed. The memory-integrity layer and the joint ablation study (which layer stops which attack class, at the lightweight / local-model scale) are the novel, publishable contributions.</w:t>
      </w:r>
    </w:p>
    <w:p>
      <w:pPr>
        <w:pStyle w:val="Heading1"/>
        <w:spacing w:after="140" w:before="320"/>
      </w:pPr>
      <w:r>
        <w:rPr>
          <w:rFonts w:ascii="Calibri" w:cs="Calibri" w:eastAsia="Calibri" w:hAnsi="Calibri"/>
          <w:b/>
          <w:bCs/>
          <w:color w:val="0F5132"/>
          <w:sz w:val="30"/>
          <w:szCs w:val="30"/>
        </w:rPr>
        <w:t xml:space="preserve">3. Goals and non-goals</w:t>
      </w:r>
    </w:p>
    <w:p>
      <w:pPr>
        <w:pStyle w:val="Heading2"/>
        <w:spacing w:after="100" w:before="240"/>
      </w:pPr>
      <w:r>
        <w:rPr>
          <w:rFonts w:ascii="Calibri" w:cs="Calibri" w:eastAsia="Calibri" w:hAnsi="Calibri"/>
          <w:b/>
          <w:bCs/>
          <w:color w:val="0F6E56"/>
          <w:sz w:val="25"/>
          <w:szCs w:val="25"/>
        </w:rPr>
        <w:t xml:space="preserve">3.1 Goals</w:t>
      </w:r>
    </w:p>
    <w:p>
      <w:pPr>
        <w:pStyle w:val="ListParagraph"/>
        <w:numPr>
          <w:ilvl w:val="0"/>
          <w:numId w:val="2"/>
        </w:numPr>
        <w:spacing w:after="60" w:line="272"/>
      </w:pPr>
      <w:r>
        <w:rPr>
          <w:rFonts w:ascii="Calibri" w:cs="Calibri" w:eastAsia="Calibri" w:hAnsi="Calibri"/>
          <w:color w:val="1A1A17"/>
          <w:sz w:val="21"/>
          <w:szCs w:val="21"/>
        </w:rPr>
        <w:t xml:space="preserve">Reduce attack success rate (ASR) for indirect prompt injection, tool misuse, and memory poisoning by a large margin while preserving agent task utility.</w:t>
      </w:r>
    </w:p>
    <w:p>
      <w:pPr>
        <w:pStyle w:val="ListParagraph"/>
        <w:numPr>
          <w:ilvl w:val="0"/>
          <w:numId w:val="2"/>
        </w:numPr>
        <w:spacing w:after="60" w:line="272"/>
      </w:pPr>
      <w:r>
        <w:rPr>
          <w:rFonts w:ascii="Calibri" w:cs="Calibri" w:eastAsia="Calibri" w:hAnsi="Calibri"/>
          <w:color w:val="1A1A17"/>
          <w:sz w:val="21"/>
          <w:szCs w:val="21"/>
        </w:rPr>
        <w:t xml:space="preserve">Provide a drop-in layer that integrates with common agent frameworks with minimal code change.</w:t>
      </w:r>
    </w:p>
    <w:p>
      <w:pPr>
        <w:pStyle w:val="ListParagraph"/>
        <w:numPr>
          <w:ilvl w:val="0"/>
          <w:numId w:val="2"/>
        </w:numPr>
        <w:spacing w:after="60" w:line="272"/>
      </w:pPr>
      <w:r>
        <w:rPr>
          <w:rFonts w:ascii="Calibri" w:cs="Calibri" w:eastAsia="Calibri" w:hAnsi="Calibri"/>
          <w:color w:val="1A1A17"/>
          <w:sz w:val="21"/>
          <w:szCs w:val="21"/>
        </w:rPr>
        <w:t xml:space="preserve">Enforce security through containment: even when the underlying model is fooled, unsafe actions are blocked before execution.</w:t>
      </w:r>
    </w:p>
    <w:p>
      <w:pPr>
        <w:pStyle w:val="ListParagraph"/>
        <w:numPr>
          <w:ilvl w:val="0"/>
          <w:numId w:val="2"/>
        </w:numPr>
        <w:spacing w:after="60" w:line="272"/>
      </w:pPr>
      <w:r>
        <w:rPr>
          <w:rFonts w:ascii="Calibri" w:cs="Calibri" w:eastAsia="Calibri" w:hAnsi="Calibri"/>
          <w:color w:val="1A1A17"/>
          <w:sz w:val="21"/>
          <w:szCs w:val="21"/>
        </w:rPr>
        <w:t xml:space="preserve">Deliver deterministic, replayable provenance for every decision, so any action can be traced to its source.</w:t>
      </w:r>
    </w:p>
    <w:p>
      <w:pPr>
        <w:pStyle w:val="ListParagraph"/>
        <w:numPr>
          <w:ilvl w:val="0"/>
          <w:numId w:val="2"/>
        </w:numPr>
        <w:spacing w:after="60" w:line="272"/>
      </w:pPr>
      <w:r>
        <w:rPr>
          <w:rFonts w:ascii="Calibri" w:cs="Calibri" w:eastAsia="Calibri" w:hAnsi="Calibri"/>
          <w:color w:val="1A1A17"/>
          <w:sz w:val="21"/>
          <w:szCs w:val="21"/>
        </w:rPr>
        <w:t xml:space="preserve">Keep added latency within a production budget suitable for interactive agents.</w:t>
      </w:r>
    </w:p>
    <w:p>
      <w:pPr>
        <w:pStyle w:val="ListParagraph"/>
        <w:numPr>
          <w:ilvl w:val="0"/>
          <w:numId w:val="2"/>
        </w:numPr>
        <w:spacing w:after="60" w:line="272"/>
      </w:pPr>
      <w:r>
        <w:rPr>
          <w:rFonts w:ascii="Calibri" w:cs="Calibri" w:eastAsia="Calibri" w:hAnsi="Calibri"/>
          <w:color w:val="1A1A17"/>
          <w:sz w:val="21"/>
          <w:szCs w:val="21"/>
        </w:rPr>
        <w:t xml:space="preserve">Ship an open-source reference implementation plus a reproducible benchmark harness.</w:t>
      </w:r>
    </w:p>
    <w:p>
      <w:pPr>
        <w:pStyle w:val="Heading2"/>
        <w:spacing w:after="100" w:before="240"/>
      </w:pPr>
      <w:r>
        <w:rPr>
          <w:rFonts w:ascii="Calibri" w:cs="Calibri" w:eastAsia="Calibri" w:hAnsi="Calibri"/>
          <w:b/>
          <w:bCs/>
          <w:color w:val="0F6E56"/>
          <w:sz w:val="25"/>
          <w:szCs w:val="25"/>
        </w:rPr>
        <w:t xml:space="preserve">3.2 Non-goals</w:t>
      </w:r>
    </w:p>
    <w:p>
      <w:pPr>
        <w:pStyle w:val="ListParagraph"/>
        <w:numPr>
          <w:ilvl w:val="0"/>
          <w:numId w:val="2"/>
        </w:numPr>
        <w:spacing w:after="60" w:line="272"/>
      </w:pPr>
      <w:r>
        <w:rPr>
          <w:rFonts w:ascii="Calibri" w:cs="Calibri" w:eastAsia="Calibri" w:hAnsi="Calibri"/>
          <w:color w:val="1A1A17"/>
          <w:sz w:val="21"/>
          <w:szCs w:val="21"/>
        </w:rPr>
        <w:t xml:space="preserve">TrustMediator does not attempt to make the underlying LLM immune to injection; it assumes the model can be fooled.</w:t>
      </w:r>
    </w:p>
    <w:p>
      <w:pPr>
        <w:pStyle w:val="ListParagraph"/>
        <w:numPr>
          <w:ilvl w:val="0"/>
          <w:numId w:val="2"/>
        </w:numPr>
        <w:spacing w:after="60" w:line="272"/>
      </w:pPr>
      <w:r>
        <w:rPr>
          <w:rFonts w:ascii="Calibri" w:cs="Calibri" w:eastAsia="Calibri" w:hAnsi="Calibri"/>
          <w:color w:val="1A1A17"/>
          <w:sz w:val="21"/>
          <w:szCs w:val="21"/>
        </w:rPr>
        <w:t xml:space="preserve">It is not a general web application firewall, DLP suite, or SIEM; it integrates with those rather than replacing them.</w:t>
      </w:r>
    </w:p>
    <w:p>
      <w:pPr>
        <w:pStyle w:val="ListParagraph"/>
        <w:numPr>
          <w:ilvl w:val="0"/>
          <w:numId w:val="2"/>
        </w:numPr>
        <w:spacing w:after="60" w:line="272"/>
      </w:pPr>
      <w:r>
        <w:rPr>
          <w:rFonts w:ascii="Calibri" w:cs="Calibri" w:eastAsia="Calibri" w:hAnsi="Calibri"/>
          <w:color w:val="1A1A17"/>
          <w:sz w:val="21"/>
          <w:szCs w:val="21"/>
        </w:rPr>
        <w:t xml:space="preserve">It does not retrain or fine-tune the host model as part of normal operation.</w:t>
      </w:r>
    </w:p>
    <w:p>
      <w:pPr>
        <w:pStyle w:val="ListParagraph"/>
        <w:numPr>
          <w:ilvl w:val="0"/>
          <w:numId w:val="2"/>
        </w:numPr>
        <w:spacing w:after="60" w:line="272"/>
      </w:pPr>
      <w:r>
        <w:rPr>
          <w:rFonts w:ascii="Calibri" w:cs="Calibri" w:eastAsia="Calibri" w:hAnsi="Calibri"/>
          <w:color w:val="1A1A17"/>
          <w:sz w:val="21"/>
          <w:szCs w:val="21"/>
        </w:rPr>
        <w:t xml:space="preserve">It does not provide formal, provable non-interference guarantees in v1 (a research extension, not a shipping requirement).</w:t>
      </w:r>
    </w:p>
    <w:p>
      <w:pPr>
        <w:pStyle w:val="ListParagraph"/>
        <w:numPr>
          <w:ilvl w:val="0"/>
          <w:numId w:val="2"/>
        </w:numPr>
        <w:spacing w:after="60" w:line="272"/>
      </w:pPr>
      <w:r>
        <w:rPr>
          <w:rFonts w:ascii="Calibri" w:cs="Calibri" w:eastAsia="Calibri" w:hAnsi="Calibri"/>
          <w:color w:val="1A1A17"/>
          <w:sz w:val="21"/>
          <w:szCs w:val="21"/>
        </w:rPr>
        <w:t xml:space="preserve">It is not responsible for the correctness of the agent's business logic, only for the safety of what it ingests and executes.</w:t>
      </w:r>
    </w:p>
    <w:p>
      <w:pPr>
        <w:pStyle w:val="Heading1"/>
        <w:spacing w:after="140" w:before="320"/>
      </w:pPr>
      <w:r>
        <w:rPr>
          <w:rFonts w:ascii="Calibri" w:cs="Calibri" w:eastAsia="Calibri" w:hAnsi="Calibri"/>
          <w:b/>
          <w:bCs/>
          <w:color w:val="0F5132"/>
          <w:sz w:val="30"/>
          <w:szCs w:val="30"/>
        </w:rPr>
        <w:t xml:space="preserve">4. Scope</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4680"/>
        <w:gridCol w:w="4680"/>
      </w:tblGrid>
      <w:tr>
        <w:trPr>
          <w:tblHeader/>
        </w:trPr>
        <w:tc>
          <w:tcPr>
            <w:tcW w:type="dxa" w:w="468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In scope (v1.0)</w:t>
            </w:r>
          </w:p>
        </w:tc>
        <w:tc>
          <w:tcPr>
            <w:tcW w:type="dxa" w:w="468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Out of scope (v1.0)</w:t>
            </w:r>
          </w:p>
        </w:tc>
      </w:tr>
      <w:tr>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Interception of context, tool calls, memory reads/writes, and outputs</w:t>
            </w:r>
          </w:p>
        </w:tc>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Model fine-tuning / alignment training</w:t>
            </w:r>
          </w:p>
        </w:tc>
      </w:tr>
      <w:tr>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Transformer-based injection scanning of untrusted content</w:t>
            </w:r>
          </w:p>
        </w:tc>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Network-layer firewalling and infrastructure hardening</w:t>
            </w:r>
          </w:p>
        </w:tc>
      </w:tr>
      <w:tr>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Taint / provenance labelling and trust routing</w:t>
            </w:r>
          </w:p>
        </w:tc>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End-user identity and SSO (consumes existing identity)</w:t>
            </w:r>
          </w:p>
        </w:tc>
      </w:tr>
      <w:tr>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Least-agency tool-call policy with human approval gates</w:t>
            </w:r>
          </w:p>
        </w:tc>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Multi-agent authorisation-propagation protocol (future)</w:t>
            </w:r>
          </w:p>
        </w:tc>
      </w:tr>
      <w:tr>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Memory write vetting and read verification</w:t>
            </w:r>
          </w:p>
        </w:tc>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Formal non-interference proofs</w:t>
            </w:r>
          </w:p>
        </w:tc>
      </w:tr>
      <w:tr>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Output redaction and exfiltration checks</w:t>
            </w:r>
          </w:p>
        </w:tc>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Automated remediation of the host application's code</w:t>
            </w:r>
          </w:p>
        </w:tc>
      </w:tr>
      <w:tr>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Append-only audit log and replay</w:t>
            </w:r>
          </w:p>
        </w:tc>
        <w:tc>
          <w:tcPr>
            <w:tcW w:type="dxa" w:w="468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Long-term SIEM storage (forwards to one)</w:t>
            </w:r>
          </w:p>
        </w:tc>
      </w:tr>
      <w:tr>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Reference SDK + sidecar/gateway deployment</w:t>
            </w:r>
          </w:p>
        </w:tc>
        <w:tc>
          <w:tcPr>
            <w:tcW w:type="dxa" w:w="468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Managed multi-tenant SaaS control plane (future)</w:t>
            </w:r>
          </w:p>
        </w:tc>
      </w:tr>
    </w:tbl>
    <w:p>
      <w:pPr>
        <w:pStyle w:val="Heading1"/>
        <w:spacing w:after="140" w:before="320"/>
      </w:pPr>
      <w:r>
        <w:rPr>
          <w:rFonts w:ascii="Calibri" w:cs="Calibri" w:eastAsia="Calibri" w:hAnsi="Calibri"/>
          <w:b/>
          <w:bCs/>
          <w:color w:val="0F5132"/>
          <w:sz w:val="30"/>
          <w:szCs w:val="30"/>
        </w:rPr>
        <w:t xml:space="preserve">5. System architecture</w:t>
      </w:r>
    </w:p>
    <w:p>
      <w:pPr>
        <w:pStyle w:val="Heading2"/>
        <w:spacing w:after="100" w:before="240"/>
      </w:pPr>
      <w:r>
        <w:rPr>
          <w:rFonts w:ascii="Calibri" w:cs="Calibri" w:eastAsia="Calibri" w:hAnsi="Calibri"/>
          <w:b/>
          <w:bCs/>
          <w:color w:val="0F6E56"/>
          <w:sz w:val="25"/>
          <w:szCs w:val="25"/>
        </w:rPr>
        <w:t xml:space="preserve">5.1 Architectural overview</w:t>
      </w:r>
    </w:p>
    <w:p>
      <w:pPr>
        <w:spacing w:after="120" w:line="276"/>
      </w:pPr>
      <w:r>
        <w:rPr>
          <w:rFonts w:ascii="Calibri" w:cs="Calibri" w:eastAsia="Calibri" w:hAnsi="Calibri"/>
          <w:color w:val="1A1A17"/>
          <w:sz w:val="21"/>
          <w:szCs w:val="21"/>
        </w:rPr>
        <w:t xml:space="preserve">TrustMediator is a mediation layer between an untrusted zone (external content and tool outputs) and a trusted zone (the agent core operating on verified context). All data crossing either boundary passes through the middleware. Colour in the diagram encodes trust level; the memory integrity layer (purple) is the primary contribution.</w:t>
      </w:r>
    </w:p>
    <w:p>
      <w:pPr>
        <w:spacing w:after="40" w:before="60"/>
        <w:jc w:val="center"/>
      </w:pPr>
      <w:r>
        <w:drawing>
          <wp:inline distT="0" distB="0" distL="0" distR="0">
            <wp:extent cx="5334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057775"/>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1. TrustMediator reference architecture and trust zones.</w:t>
      </w:r>
    </w:p>
    <w:p>
      <w:pPr>
        <w:spacing w:after="120" w:line="276"/>
      </w:pPr>
      <w:r>
        <w:rPr>
          <w:rFonts w:ascii="Calibri" w:cs="Calibri" w:eastAsia="Calibri" w:hAnsi="Calibri"/>
          <w:color w:val="1A1A17"/>
          <w:sz w:val="21"/>
          <w:szCs w:val="21"/>
        </w:rPr>
        <w:t xml:space="preserve">The middleware is composed of six processing modules and two cross-cutting infrastructure services. The agent core is itself hardened along CaMeL-style lines: a privileged LLM plans from the trusted query, a quarantined LLM reads untrusted data without tool access, tool calls run in a sandboxed executor, and long-term memory is a protected store written to only through the integrity layer.</w:t>
      </w:r>
    </w:p>
    <w:p>
      <w:pPr>
        <w:pStyle w:val="Heading2"/>
        <w:spacing w:after="100" w:before="240"/>
      </w:pPr>
      <w:r>
        <w:rPr>
          <w:rFonts w:ascii="Calibri" w:cs="Calibri" w:eastAsia="Calibri" w:hAnsi="Calibri"/>
          <w:b/>
          <w:bCs/>
          <w:color w:val="0F6E56"/>
          <w:sz w:val="25"/>
          <w:szCs w:val="25"/>
        </w:rPr>
        <w:t xml:space="preserve">5.2 Trust model and data classification</w:t>
      </w:r>
    </w:p>
    <w:p>
      <w:pPr>
        <w:spacing w:after="120" w:line="276"/>
      </w:pPr>
      <w:r>
        <w:rPr>
          <w:rFonts w:ascii="Calibri" w:cs="Calibri" w:eastAsia="Calibri" w:hAnsi="Calibri"/>
          <w:color w:val="1A1A17"/>
          <w:sz w:val="21"/>
          <w:szCs w:val="21"/>
        </w:rPr>
        <w:t xml:space="preserve">Every value entering the system is assigned exactly one trust label and carries immutable provenance metadata for its lifetime. Labels drive routing and policy.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2100"/>
        <w:gridCol w:w="3400"/>
        <w:gridCol w:w="3860"/>
      </w:tblGrid>
      <w:tr>
        <w:trPr>
          <w:tblHeader/>
        </w:trPr>
        <w:tc>
          <w:tcPr>
            <w:tcW w:type="dxa" w:w="21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Trust label</w:t>
            </w:r>
          </w:p>
        </w:tc>
        <w:tc>
          <w:tcPr>
            <w:tcW w:type="dxa" w:w="34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Sources</w:t>
            </w:r>
          </w:p>
        </w:tc>
        <w:tc>
          <w:tcPr>
            <w:tcW w:type="dxa" w:w="38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Handling rule</w:t>
            </w:r>
          </w:p>
        </w:tc>
      </w:tr>
      <w:tr>
        <w:tc>
          <w:tcPr>
            <w:tcW w:type="dxa" w:w="21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Trusted instruction</w:t>
            </w:r>
          </w:p>
        </w:tc>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Authenticated user query; system policy</w:t>
            </w:r>
          </w:p>
        </w:tc>
        <w:tc>
          <w:tcPr>
            <w:tcW w:type="dxa" w:w="38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May influence the plan and authorise actions.</w:t>
            </w:r>
          </w:p>
        </w:tc>
      </w:tr>
      <w:tr>
        <w:tc>
          <w:tcPr>
            <w:tcW w:type="dxa" w:w="21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Untrusted data</w:t>
            </w:r>
          </w:p>
        </w:tc>
        <w:tc>
          <w:tcPr>
            <w:tcW w:type="dxa" w:w="3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Tool/API outputs, retrieved RAG chunks, memory reads, third-party agents</w:t>
            </w:r>
          </w:p>
        </w:tc>
        <w:tc>
          <w:tcPr>
            <w:tcW w:type="dxa" w:w="38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May be summarised/used as content but must never be promoted to an instruction or directly authorise a tool call.</w:t>
            </w:r>
          </w:p>
        </w:tc>
      </w:tr>
      <w:tr>
        <w:tc>
          <w:tcPr>
            <w:tcW w:type="dxa" w:w="21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Risky external</w:t>
            </w:r>
          </w:p>
        </w:tc>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Unverified web pages, attachments, executable/markup payloads</w:t>
            </w:r>
          </w:p>
        </w:tc>
        <w:tc>
          <w:tcPr>
            <w:tcW w:type="dxa" w:w="38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Scanned and, by default, transformed into a sanitised summary before the agent sees it.</w:t>
            </w:r>
          </w:p>
        </w:tc>
      </w:tr>
      <w:tr>
        <w:tc>
          <w:tcPr>
            <w:tcW w:type="dxa" w:w="21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Derived</w:t>
            </w:r>
          </w:p>
        </w:tc>
        <w:tc>
          <w:tcPr>
            <w:tcW w:type="dxa" w:w="3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Any value computed from the above</w:t>
            </w:r>
          </w:p>
        </w:tc>
        <w:tc>
          <w:tcPr>
            <w:tcW w:type="dxa" w:w="38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Inherits the most restrictive label of its inputs (taint propagation).</w:t>
            </w:r>
          </w:p>
        </w:tc>
      </w:tr>
    </w:tbl>
    <w:p>
      <w:pPr>
        <w:spacing w:after="120" w:line="276"/>
      </w:pPr>
      <w:r>
        <w:rPr>
          <w:rFonts w:ascii="Calibri" w:cs="Calibri" w:eastAsia="Calibri" w:hAnsi="Calibri"/>
          <w:b/>
          <w:bCs/>
          <w:color w:val="1A1A17"/>
          <w:sz w:val="21"/>
          <w:szCs w:val="21"/>
        </w:rPr>
        <w:t xml:space="preserve">Core invariant: </w:t>
      </w:r>
      <w:r>
        <w:rPr>
          <w:rFonts w:ascii="Calibri" w:cs="Calibri" w:eastAsia="Calibri" w:hAnsi="Calibri"/>
          <w:color w:val="1A1A17"/>
          <w:sz w:val="21"/>
          <w:szCs w:val="21"/>
        </w:rPr>
        <w:t xml:space="preserve">data labelled untrusted or risky can contribute to what the agent knows but can never, on its own, determine what the agent does. Control flow is derived only from trusted instructions plus policy.</w:t>
      </w:r>
    </w:p>
    <w:p>
      <w:pPr>
        <w:pStyle w:val="Heading2"/>
        <w:spacing w:after="100" w:before="240"/>
      </w:pPr>
      <w:r>
        <w:rPr>
          <w:rFonts w:ascii="Calibri" w:cs="Calibri" w:eastAsia="Calibri" w:hAnsi="Calibri"/>
          <w:b/>
          <w:bCs/>
          <w:color w:val="0F6E56"/>
          <w:sz w:val="25"/>
          <w:szCs w:val="25"/>
        </w:rPr>
        <w:t xml:space="preserve">5.3 Request lifecycle</w:t>
      </w:r>
    </w:p>
    <w:p>
      <w:pPr>
        <w:spacing w:after="120" w:line="276"/>
      </w:pPr>
      <w:r>
        <w:rPr>
          <w:rFonts w:ascii="Calibri" w:cs="Calibri" w:eastAsia="Calibri" w:hAnsi="Calibri"/>
          <w:color w:val="1A1A17"/>
          <w:sz w:val="21"/>
          <w:szCs w:val="21"/>
        </w:rPr>
        <w:t xml:space="preserve">A single agent turn flows through the pipeline as follows:</w:t>
      </w:r>
    </w:p>
    <w:p>
      <w:pPr>
        <w:pStyle w:val="ListParagraph"/>
        <w:numPr>
          <w:ilvl w:val="0"/>
          <w:numId w:val="3"/>
        </w:numPr>
        <w:spacing w:after="60" w:line="272"/>
      </w:pPr>
      <w:r>
        <w:rPr>
          <w:rFonts w:ascii="Calibri" w:cs="Calibri" w:eastAsia="Calibri" w:hAnsi="Calibri"/>
          <w:color w:val="1A1A17"/>
          <w:sz w:val="21"/>
          <w:szCs w:val="21"/>
        </w:rPr>
        <w:t xml:space="preserve">Ingress interceptor captures the incoming query and any tool/retrieval results, wrapping each in a context envelope with provenance.</w:t>
      </w:r>
    </w:p>
    <w:p>
      <w:pPr>
        <w:pStyle w:val="ListParagraph"/>
        <w:numPr>
          <w:ilvl w:val="0"/>
          <w:numId w:val="3"/>
        </w:numPr>
        <w:spacing w:after="60" w:line="272"/>
      </w:pPr>
      <w:r>
        <w:rPr>
          <w:rFonts w:ascii="Calibri" w:cs="Calibri" w:eastAsia="Calibri" w:hAnsi="Calibri"/>
          <w:color w:val="1A1A17"/>
          <w:sz w:val="21"/>
          <w:szCs w:val="21"/>
        </w:rPr>
        <w:t xml:space="preserve">Trust router assigns trust labels and taints, keeping trusted instructions and untrusted data in separate channels.</w:t>
      </w:r>
    </w:p>
    <w:p>
      <w:pPr>
        <w:pStyle w:val="ListParagraph"/>
        <w:numPr>
          <w:ilvl w:val="0"/>
          <w:numId w:val="3"/>
        </w:numPr>
        <w:spacing w:after="60" w:line="272"/>
      </w:pPr>
      <w:r>
        <w:rPr>
          <w:rFonts w:ascii="Calibri" w:cs="Calibri" w:eastAsia="Calibri" w:hAnsi="Calibri"/>
          <w:color w:val="1A1A17"/>
          <w:sz w:val="21"/>
          <w:szCs w:val="21"/>
        </w:rPr>
        <w:t xml:space="preserve">Injection scanner evaluates every untrusted / risky item; flagged items are blocked, transformed to a sanitised summary, or escalated per policy.</w:t>
      </w:r>
    </w:p>
    <w:p>
      <w:pPr>
        <w:pStyle w:val="ListParagraph"/>
        <w:numPr>
          <w:ilvl w:val="0"/>
          <w:numId w:val="3"/>
        </w:numPr>
        <w:spacing w:after="60" w:line="272"/>
      </w:pPr>
      <w:r>
        <w:rPr>
          <w:rFonts w:ascii="Calibri" w:cs="Calibri" w:eastAsia="Calibri" w:hAnsi="Calibri"/>
          <w:color w:val="1A1A17"/>
          <w:sz w:val="21"/>
          <w:szCs w:val="21"/>
        </w:rPr>
        <w:t xml:space="preserve">The privileged LLM produces a plan; each proposed tool call is submitted to the tool-call policy engine, which checks allow-lists, parameter constraints, and least-agency rules, invoking a human-approval gate for irreversible or high-impact actions.</w:t>
      </w:r>
    </w:p>
    <w:p>
      <w:pPr>
        <w:pStyle w:val="ListParagraph"/>
        <w:numPr>
          <w:ilvl w:val="0"/>
          <w:numId w:val="3"/>
        </w:numPr>
        <w:spacing w:after="60" w:line="272"/>
      </w:pPr>
      <w:r>
        <w:rPr>
          <w:rFonts w:ascii="Calibri" w:cs="Calibri" w:eastAsia="Calibri" w:hAnsi="Calibri"/>
          <w:color w:val="1A1A17"/>
          <w:sz w:val="21"/>
          <w:szCs w:val="21"/>
        </w:rPr>
        <w:t xml:space="preserve">Approved tool calls run in the sandboxed executor; results re-enter at step 1 as untrusted data.</w:t>
      </w:r>
    </w:p>
    <w:p>
      <w:pPr>
        <w:pStyle w:val="ListParagraph"/>
        <w:numPr>
          <w:ilvl w:val="0"/>
          <w:numId w:val="3"/>
        </w:numPr>
        <w:spacing w:after="60" w:line="272"/>
      </w:pPr>
      <w:r>
        <w:rPr>
          <w:rFonts w:ascii="Calibri" w:cs="Calibri" w:eastAsia="Calibri" w:hAnsi="Calibri"/>
          <w:color w:val="1A1A17"/>
          <w:sz w:val="21"/>
          <w:szCs w:val="21"/>
        </w:rPr>
        <w:t xml:space="preserve">Any write to long-term memory is intercepted by the memory integrity layer: quarantined, checked for injected instructions and conflicts with existing facts, scored, and only persisted if it passes.</w:t>
      </w:r>
    </w:p>
    <w:p>
      <w:pPr>
        <w:pStyle w:val="ListParagraph"/>
        <w:numPr>
          <w:ilvl w:val="0"/>
          <w:numId w:val="3"/>
        </w:numPr>
        <w:spacing w:after="60" w:line="272"/>
      </w:pPr>
      <w:r>
        <w:rPr>
          <w:rFonts w:ascii="Calibri" w:cs="Calibri" w:eastAsia="Calibri" w:hAnsi="Calibri"/>
          <w:color w:val="1A1A17"/>
          <w:sz w:val="21"/>
          <w:szCs w:val="21"/>
        </w:rPr>
        <w:t xml:space="preserve">Before any outward-facing action or response, the output redaction layer removes secrets/PII and blocks disallowed data flows (exfiltration).</w:t>
      </w:r>
    </w:p>
    <w:p>
      <w:pPr>
        <w:pStyle w:val="ListParagraph"/>
        <w:numPr>
          <w:ilvl w:val="0"/>
          <w:numId w:val="3"/>
        </w:numPr>
        <w:spacing w:after="60" w:line="272"/>
      </w:pPr>
      <w:r>
        <w:rPr>
          <w:rFonts w:ascii="Calibri" w:cs="Calibri" w:eastAsia="Calibri" w:hAnsi="Calibri"/>
          <w:color w:val="1A1A17"/>
          <w:sz w:val="21"/>
          <w:szCs w:val="21"/>
        </w:rPr>
        <w:t xml:space="preserve">Every decision at every step is written to the append-only audit &amp; provenance log for replay and forensics.</w:t>
      </w:r>
    </w:p>
    <w:p>
      <w:pPr>
        <w:pStyle w:val="Heading2"/>
        <w:spacing w:after="100" w:before="240"/>
      </w:pPr>
      <w:r>
        <w:rPr>
          <w:rFonts w:ascii="Calibri" w:cs="Calibri" w:eastAsia="Calibri" w:hAnsi="Calibri"/>
          <w:b/>
          <w:bCs/>
          <w:color w:val="0F6E56"/>
          <w:sz w:val="25"/>
          <w:szCs w:val="25"/>
        </w:rPr>
        <w:t xml:space="preserve">5.4 Production deployment topology</w:t>
      </w:r>
    </w:p>
    <w:p>
      <w:pPr>
        <w:spacing w:after="120" w:line="276"/>
      </w:pPr>
      <w:r>
        <w:rPr>
          <w:rFonts w:ascii="Calibri" w:cs="Calibri" w:eastAsia="Calibri" w:hAnsi="Calibri"/>
          <w:color w:val="1A1A17"/>
          <w:sz w:val="21"/>
          <w:szCs w:val="21"/>
        </w:rPr>
        <w:t xml:space="preserve">TrustMediator ships in two interchangeable deployment modes over a shared core:</w:t>
      </w:r>
    </w:p>
    <w:p>
      <w:pPr>
        <w:pStyle w:val="ListParagraph"/>
        <w:numPr>
          <w:ilvl w:val="0"/>
          <w:numId w:val="2"/>
        </w:numPr>
        <w:spacing w:after="60" w:line="272"/>
      </w:pPr>
      <w:r>
        <w:rPr>
          <w:rFonts w:ascii="Calibri" w:cs="Calibri" w:eastAsia="Calibri" w:hAnsi="Calibri"/>
          <w:b/>
          <w:bCs/>
          <w:color w:val="1A1A17"/>
          <w:sz w:val="21"/>
          <w:szCs w:val="21"/>
        </w:rPr>
        <w:t xml:space="preserve">Sidecar mode (default): </w:t>
      </w:r>
      <w:r>
        <w:rPr>
          <w:rFonts w:ascii="Calibri" w:cs="Calibri" w:eastAsia="Calibri" w:hAnsi="Calibri"/>
          <w:color w:val="1A1A17"/>
          <w:sz w:val="21"/>
          <w:szCs w:val="21"/>
        </w:rPr>
        <w:t xml:space="preserve">a container co-located with each agent service; the agent calls the local mediation endpoint. Lowest latency, strong tenant isolation, scales with the agent.</w:t>
      </w:r>
    </w:p>
    <w:p>
      <w:pPr>
        <w:pStyle w:val="ListParagraph"/>
        <w:numPr>
          <w:ilvl w:val="0"/>
          <w:numId w:val="2"/>
        </w:numPr>
        <w:spacing w:after="60" w:line="272"/>
      </w:pPr>
      <w:r>
        <w:rPr>
          <w:rFonts w:ascii="Calibri" w:cs="Calibri" w:eastAsia="Calibri" w:hAnsi="Calibri"/>
          <w:b/>
          <w:bCs/>
          <w:color w:val="1A1A17"/>
          <w:sz w:val="21"/>
          <w:szCs w:val="21"/>
        </w:rPr>
        <w:t xml:space="preserve">Gateway mode: </w:t>
      </w:r>
      <w:r>
        <w:rPr>
          <w:rFonts w:ascii="Calibri" w:cs="Calibri" w:eastAsia="Calibri" w:hAnsi="Calibri"/>
          <w:color w:val="1A1A17"/>
          <w:sz w:val="21"/>
          <w:szCs w:val="21"/>
        </w:rPr>
        <w:t xml:space="preserve">a horizontally scaled mediation cluster behind a load balancer, shared by many agent services. Centralised policy and simpler upgrades at the cost of a network hop.</w:t>
      </w:r>
    </w:p>
    <w:p>
      <w:pPr>
        <w:spacing w:after="120" w:line="276"/>
      </w:pPr>
      <w:r>
        <w:rPr>
          <w:rFonts w:ascii="Calibri" w:cs="Calibri" w:eastAsia="Calibri" w:hAnsi="Calibri"/>
          <w:color w:val="1A1A17"/>
          <w:sz w:val="21"/>
          <w:szCs w:val="21"/>
        </w:rPr>
        <w:t xml:space="preserve">Supporting services in production: the injection scanner is served from a model-serving tier (GPU-backed, or a distilled CPU model for cost-sensitive deployments) behind an internal endpoint with request batching; the policy store is a replicated relational database with a Redis cache for hot policy and rate-limit counters; the audit log is written asynchronously through a durable queue to append-only object storage and forwarded to the organisation's SIEM. The control plane (policy authoring, threshold tuning, dashboards) is separated from the data plane so that a control-plane outage never blocks live mediation.</w:t>
      </w:r>
    </w:p>
    <w:p>
      <w:pPr>
        <w:pStyle w:val="Heading1"/>
        <w:spacing w:after="140" w:before="320"/>
      </w:pPr>
      <w:r>
        <w:rPr>
          <w:rFonts w:ascii="Calibri" w:cs="Calibri" w:eastAsia="Calibri" w:hAnsi="Calibri"/>
          <w:b/>
          <w:bCs/>
          <w:color w:val="0F5132"/>
          <w:sz w:val="30"/>
          <w:szCs w:val="30"/>
        </w:rPr>
        <w:t xml:space="preserve">6. Component specification</w:t>
      </w:r>
    </w:p>
    <w:p>
      <w:pPr>
        <w:pStyle w:val="Heading3"/>
        <w:spacing w:after="70" w:before="160"/>
      </w:pPr>
      <w:r>
        <w:rPr>
          <w:rFonts w:ascii="Calibri" w:cs="Calibri" w:eastAsia="Calibri" w:hAnsi="Calibri"/>
          <w:b/>
          <w:bCs/>
          <w:color w:val="444441"/>
          <w:sz w:val="22"/>
          <w:szCs w:val="22"/>
        </w:rPr>
        <w:t xml:space="preserve">6.1 Ingress interceptor / SDK</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The single entry point that wraps the host agent so that no context, tool call, memory operation, or output bypasses mediation. Exposed as framework adapters (decorators/callbacks) and as network endpoints.</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raw query, tool results, retrieval results, memory ops, draft outputs → context envelopes with provenance, forwarded to the pipeline</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Must fail safe: if the interceptor cannot reach downstream modules, high-risk operations are blocked (fail-closed) while low-risk reads may proceed under policy (fail-open). Adds negligible overhead itself.</w:t>
      </w:r>
    </w:p>
    <w:p>
      <w:pPr>
        <w:pStyle w:val="Heading3"/>
        <w:spacing w:after="70" w:before="160"/>
      </w:pPr>
      <w:r>
        <w:rPr>
          <w:rFonts w:ascii="Calibri" w:cs="Calibri" w:eastAsia="Calibri" w:hAnsi="Calibri"/>
          <w:b/>
          <w:bCs/>
          <w:color w:val="444441"/>
          <w:sz w:val="22"/>
          <w:szCs w:val="22"/>
        </w:rPr>
        <w:t xml:space="preserve">6.2 Trust router (taint and provenance)</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Assigns each value a trust label, records immutable provenance (source, timestamp, upstream lineage), and keeps trusted instructions and untrusted data in separate channels so untrusted content cannot enter the control path.</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context envelopes → labelled, taint-tracked envelopes routed to the correct downstream handler</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Taint propagation follows the derived-label rule (most restrictive input wins). Provenance is the backbone of the audit log and of policy decisions.</w:t>
      </w:r>
    </w:p>
    <w:p>
      <w:pPr>
        <w:pStyle w:val="Heading3"/>
        <w:spacing w:after="70" w:before="160"/>
      </w:pPr>
      <w:r>
        <w:rPr>
          <w:rFonts w:ascii="Calibri" w:cs="Calibri" w:eastAsia="Calibri" w:hAnsi="Calibri"/>
          <w:b/>
          <w:bCs/>
          <w:color w:val="444441"/>
          <w:sz w:val="22"/>
          <w:szCs w:val="22"/>
        </w:rPr>
        <w:t xml:space="preserve">6.3 Injection scanner</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Detects injected instructions inside untrusted and risky content (retrieved chunks, tool outputs, memory-write candidates, attachments) using a fine-tuned transformer classifier, with a lightweight rule/heuristic pre-filter for known patterns.</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untrusted / risky content → verdict {allow | transform | block | escalate} plus score and rationale</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A DeBERTa-class classifier served via an optimised runtime (batched, GPU or distilled-CPU). Detection is treated as one layer only; a miss is contained downstream by trust routing and policy. Thresholds are tunable per deployment; a shadow mode logs verdicts without enforcing during rollout.</w:t>
      </w:r>
    </w:p>
    <w:p>
      <w:pPr>
        <w:pStyle w:val="Heading3"/>
        <w:spacing w:after="70" w:before="160"/>
      </w:pPr>
      <w:r>
        <w:rPr>
          <w:rFonts w:ascii="Calibri" w:cs="Calibri" w:eastAsia="Calibri" w:hAnsi="Calibri"/>
          <w:b/>
          <w:bCs/>
          <w:color w:val="444441"/>
          <w:sz w:val="22"/>
          <w:szCs w:val="22"/>
        </w:rPr>
        <w:t xml:space="preserve">6.4 Tool-call policy engine</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Authorises every proposed tool invocation against declarative least-agency policy: per-agent allow-lists, argument schemas and value constraints, rate/quota limits, and required human approval for irreversible or high-impact actions.</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proposed tool call (name, args, invoking context, trust labels of args) → decision {allow | deny | require-approval} with reason and audit record</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Policy is declarative and versioned in the policy store. An argument derived from untrusted data can be denied or forced through approval even if the tool itself is allow-listed. Implements the principle of least agency: autonomy is granted per task, not by default.</w:t>
      </w:r>
    </w:p>
    <w:p>
      <w:pPr>
        <w:pBdr>
          <w:left w:val="single" w:color="534AB7" w:sz="18" w:space="8"/>
        </w:pBdr>
        <w:shd w:fill="EEEDFE" w:color="auto" w:val="clear"/>
        <w:spacing w:after="40" w:before="40"/>
      </w:pPr>
      <w:r>
        <w:rPr>
          <w:rFonts w:ascii="Calibri" w:cs="Calibri" w:eastAsia="Calibri" w:hAnsi="Calibri"/>
          <w:b/>
          <w:bCs/>
          <w:color w:val="3C3489"/>
          <w:sz w:val="20"/>
          <w:szCs w:val="20"/>
        </w:rPr>
        <w:t xml:space="preserve">  Primary contribution</w:t>
      </w:r>
    </w:p>
    <w:p>
      <w:pPr>
        <w:pStyle w:val="Heading3"/>
        <w:spacing w:after="70" w:before="160"/>
      </w:pPr>
      <w:r>
        <w:rPr>
          <w:rFonts w:ascii="Calibri" w:cs="Calibri" w:eastAsia="Calibri" w:hAnsi="Calibri"/>
          <w:b/>
          <w:bCs/>
          <w:color w:val="444441"/>
          <w:sz w:val="22"/>
          <w:szCs w:val="22"/>
        </w:rPr>
        <w:t xml:space="preserve">6.5 Memory integrity layer (novel)</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Vets every write to long-term memory before it can persist and verifies every read before it re-enters context, closing the persistent-poisoning attack surface where a single injected record can steer many future sessions.</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candidate memory write (content, source, trust labels) / memory read request → persist | quarantine | reject (writes); verified | withhold (reads), with integrity score</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Write path: (a) quarantine the candidate; (b) run the injection scanner over it; (c) consistency-check it against existing memory for contradictions and suspicious instruction-like patterns; (d) compute an integrity/anomaly score using provenance and content signals; (e) persist only above threshold, otherwise quarantine for review. Read path verifies signatures/provenance and re-scans on retrieval so that memory written before a rule update is still checked. This is the module against which the project makes its central empirical claim.</w:t>
      </w:r>
    </w:p>
    <w:p>
      <w:pPr>
        <w:pStyle w:val="Heading3"/>
        <w:spacing w:after="70" w:before="160"/>
      </w:pPr>
      <w:r>
        <w:rPr>
          <w:rFonts w:ascii="Calibri" w:cs="Calibri" w:eastAsia="Calibri" w:hAnsi="Calibri"/>
          <w:b/>
          <w:bCs/>
          <w:color w:val="444441"/>
          <w:sz w:val="22"/>
          <w:szCs w:val="22"/>
        </w:rPr>
        <w:t xml:space="preserve">6.6 Output redaction layer</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Final egress control: removes secrets and PII from outgoing actions and responses and blocks disallowed data flows (e.g., private data flowing to an untrusted destination), preventing exfiltration triggered by a landed injection.</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draft response or outbound action payload with data-flow labels → redacted / approved payload, or a blocked action with reason</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Enforces capability-style data-flow rules: an action is denied if it would move data of a protected class to a sink the policy does not permit for that class.</w:t>
      </w:r>
    </w:p>
    <w:p>
      <w:pPr>
        <w:pStyle w:val="Heading3"/>
        <w:spacing w:after="70" w:before="160"/>
      </w:pPr>
      <w:r>
        <w:rPr>
          <w:rFonts w:ascii="Calibri" w:cs="Calibri" w:eastAsia="Calibri" w:hAnsi="Calibri"/>
          <w:b/>
          <w:bCs/>
          <w:color w:val="444441"/>
          <w:sz w:val="22"/>
          <w:szCs w:val="22"/>
        </w:rPr>
        <w:t xml:space="preserve">6.7 Audit and provenance log</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An append-only, tamper-evident record of every mediation decision — labels, scanner verdicts, policy outcomes, memory decisions, redactions — sufficient to replay a session and answer “why did the agent do that, and where did the input come from?”</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structured events from every module → durable, queryable, replayable event stream forwarded to SIEM</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Written asynchronously to avoid adding latency to the request path; ordering and integrity are preserved via sequence numbers and hashing.</w:t>
      </w:r>
    </w:p>
    <w:p>
      <w:pPr>
        <w:pStyle w:val="Heading3"/>
        <w:spacing w:after="70" w:before="160"/>
      </w:pPr>
      <w:r>
        <w:rPr>
          <w:rFonts w:ascii="Calibri" w:cs="Calibri" w:eastAsia="Calibri" w:hAnsi="Calibri"/>
          <w:b/>
          <w:bCs/>
          <w:color w:val="444441"/>
          <w:sz w:val="22"/>
          <w:szCs w:val="22"/>
        </w:rPr>
        <w:t xml:space="preserve">6.8 Policy store and control plane</w:t>
      </w:r>
    </w:p>
    <w:p>
      <w:pPr>
        <w:spacing w:after="120" w:line="276"/>
      </w:pPr>
      <w:r>
        <w:rPr>
          <w:rFonts w:ascii="Calibri" w:cs="Calibri" w:eastAsia="Calibri" w:hAnsi="Calibri"/>
          <w:b/>
          <w:bCs/>
          <w:color w:val="1A1A17"/>
          <w:sz w:val="21"/>
          <w:szCs w:val="21"/>
        </w:rPr>
        <w:t xml:space="preserve">Purpose. </w:t>
      </w:r>
      <w:r>
        <w:rPr>
          <w:rFonts w:ascii="Calibri" w:cs="Calibri" w:eastAsia="Calibri" w:hAnsi="Calibri"/>
          <w:color w:val="1A1A17"/>
          <w:sz w:val="21"/>
          <w:szCs w:val="21"/>
        </w:rPr>
        <w:t xml:space="preserve">Stores declarative security policy (trust rules, tool allow-lists, redaction rules, thresholds) with versioning and rollback, and provides the authoring UI, threshold tuning, and dashboards.</w:t>
      </w:r>
    </w:p>
    <w:p>
      <w:pPr>
        <w:spacing w:after="120" w:line="276"/>
      </w:pPr>
      <w:r>
        <w:rPr>
          <w:rFonts w:ascii="Calibri" w:cs="Calibri" w:eastAsia="Calibri" w:hAnsi="Calibri"/>
          <w:b/>
          <w:bCs/>
          <w:color w:val="1A1A17"/>
          <w:sz w:val="21"/>
          <w:szCs w:val="21"/>
        </w:rPr>
        <w:t xml:space="preserve">Inputs → outputs. </w:t>
      </w:r>
      <w:r>
        <w:rPr>
          <w:rFonts w:ascii="Calibri" w:cs="Calibri" w:eastAsia="Calibri" w:hAnsi="Calibri"/>
          <w:color w:val="1A1A17"/>
          <w:sz w:val="21"/>
          <w:szCs w:val="21"/>
        </w:rPr>
        <w:t xml:space="preserve">policy definitions and configuration → validated, versioned policy served to the data plane; observability dashboards</w:t>
      </w:r>
    </w:p>
    <w:p>
      <w:pPr>
        <w:spacing w:after="120" w:line="276"/>
      </w:pPr>
      <w:r>
        <w:rPr>
          <w:rFonts w:ascii="Calibri" w:cs="Calibri" w:eastAsia="Calibri" w:hAnsi="Calibri"/>
          <w:b/>
          <w:bCs/>
          <w:color w:val="1A1A17"/>
          <w:sz w:val="21"/>
          <w:szCs w:val="21"/>
        </w:rPr>
        <w:t xml:space="preserve">Design notes. </w:t>
      </w:r>
      <w:r>
        <w:rPr>
          <w:rFonts w:ascii="Calibri" w:cs="Calibri" w:eastAsia="Calibri" w:hAnsi="Calibri"/>
          <w:color w:val="1A1A17"/>
          <w:sz w:val="21"/>
          <w:szCs w:val="21"/>
        </w:rPr>
        <w:t xml:space="preserve">Control plane is isolated from the data plane; policy changes are validated and can be rolled out in shadow mode before enforcement.</w:t>
      </w:r>
    </w:p>
    <w:p>
      <w:pPr>
        <w:pStyle w:val="Heading1"/>
        <w:spacing w:after="140" w:before="320"/>
      </w:pPr>
      <w:r>
        <w:rPr>
          <w:rFonts w:ascii="Calibri" w:cs="Calibri" w:eastAsia="Calibri" w:hAnsi="Calibri"/>
          <w:b/>
          <w:bCs/>
          <w:color w:val="0F5132"/>
          <w:sz w:val="30"/>
          <w:szCs w:val="30"/>
        </w:rPr>
        <w:t xml:space="preserve">7. Functional requirements</w:t>
      </w:r>
    </w:p>
    <w:p>
      <w:pPr>
        <w:spacing w:after="120" w:line="276"/>
      </w:pPr>
      <w:r>
        <w:rPr>
          <w:rFonts w:ascii="Calibri" w:cs="Calibri" w:eastAsia="Calibri" w:hAnsi="Calibri"/>
          <w:color w:val="1A1A17"/>
          <w:sz w:val="21"/>
          <w:szCs w:val="21"/>
        </w:rPr>
        <w:t xml:space="preserve">Priority uses MoSCoW (M = Must, S = Should, C = Could). Each requirement has a stable ID for traceability to tests and to the OWASP mapping in §13.</w:t>
      </w:r>
    </w:p>
    <w:p>
      <w:pPr>
        <w:pStyle w:val="Heading3"/>
        <w:spacing w:after="70" w:before="160"/>
      </w:pPr>
      <w:r>
        <w:rPr>
          <w:rFonts w:ascii="Calibri" w:cs="Calibri" w:eastAsia="Calibri" w:hAnsi="Calibri"/>
          <w:b/>
          <w:bCs/>
          <w:color w:val="444441"/>
          <w:sz w:val="22"/>
          <w:szCs w:val="22"/>
        </w:rPr>
        <w:t xml:space="preserve">7.1 Interception and routing</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FR-IG-01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intercept all inbound context (query, tool results, retrieval results) and all outbound actions/responses for a registered agent, with no bypass path.</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FR-IG-02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provide adapters for at least one mainstream agent framework and a language-agnostic network API (REST + gRPC).</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FR-TR-01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assign exactly one trust label to every value and attach immutable provenance (source, timestamp, lineage).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FR-TR-02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propagate taint so any derived value inherits the most restrictive label of its inputs.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FR-TR-03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keep trusted instructions and untrusted data in separate channels such that untrusted data cannot enter the control/plan path.</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bl>
    <w:p>
      <w:pPr>
        <w:pStyle w:val="Heading3"/>
        <w:spacing w:after="70" w:before="160"/>
      </w:pPr>
      <w:r>
        <w:rPr>
          <w:rFonts w:ascii="Calibri" w:cs="Calibri" w:eastAsia="Calibri" w:hAnsi="Calibri"/>
          <w:b/>
          <w:bCs/>
          <w:color w:val="444441"/>
          <w:sz w:val="22"/>
          <w:szCs w:val="22"/>
        </w:rPr>
        <w:t xml:space="preserve">7.2 Injection scanning</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FR-SC-01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scan every untrusted/risky item for injected instructions before the agent core consumes it.</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FR-SC-02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scanner shall return a verdict (allow / transform / block / escalate), a score, and a rationale for each item.</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FR-SC-03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support transforming risky content into a sanitised summary in place of blocking, per policy.</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FR-SC-04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Detection thresholds shall be configurable per deployment, and a shadow mode shall log verdicts without enforcing.</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FR-SC-05</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scanner shall not be the sole control: a scanner miss shall still be contained by routing and policy.</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bl>
    <w:p>
      <w:pPr>
        <w:pStyle w:val="Heading3"/>
        <w:spacing w:after="70" w:before="160"/>
      </w:pPr>
      <w:r>
        <w:rPr>
          <w:rFonts w:ascii="Calibri" w:cs="Calibri" w:eastAsia="Calibri" w:hAnsi="Calibri"/>
          <w:b/>
          <w:bCs/>
          <w:color w:val="444441"/>
          <w:sz w:val="22"/>
          <w:szCs w:val="22"/>
        </w:rPr>
        <w:t xml:space="preserve">7.3 Tool-call policy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FR-PE-01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authorise every tool call against declarative least-agency policy before execution.</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FR-PE-02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shall support per-agent tool allow-lists, argument schemas, and value constraints.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FR-PE-03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require human approval for actions marked irreversible or high-impact.</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FR-PE-04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engine shall be able to deny or force approval for a call whose arguments derive from untrusted data, even for an allow-listed tool.</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FR-PE-05</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enforce per-agent rate and quota limits on tool use.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bl>
    <w:p>
      <w:pPr>
        <w:pStyle w:val="Heading3"/>
        <w:spacing w:after="70" w:before="160"/>
      </w:pPr>
      <w:r>
        <w:rPr>
          <w:rFonts w:ascii="Calibri" w:cs="Calibri" w:eastAsia="Calibri" w:hAnsi="Calibri"/>
          <w:b/>
          <w:bCs/>
          <w:color w:val="444441"/>
          <w:sz w:val="22"/>
          <w:szCs w:val="22"/>
        </w:rPr>
        <w:t xml:space="preserve">7.4 Memory integrity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FR-MI-01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vet every candidate write to long-term memory before persistence (quarantine → scan → consistency check → score → persist/reject).</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FR-MI-02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detect and block memory writes containing injected instructions or content that conflicts with trusted existing facts.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FR-MI-03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assign an integrity score to each memory entry and quarantine entries below threshold for review.</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FR-MI-04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verify provenance/integrity of memory on read and re-scan retrieved entries so pre-existing entries are re-checked after policy updates.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FR-MI-05</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support review, release, and purge of quarantined memory entries.</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bl>
    <w:p>
      <w:pPr>
        <w:pStyle w:val="Heading3"/>
        <w:spacing w:after="70" w:before="160"/>
      </w:pPr>
      <w:r>
        <w:rPr>
          <w:rFonts w:ascii="Calibri" w:cs="Calibri" w:eastAsia="Calibri" w:hAnsi="Calibri"/>
          <w:b/>
          <w:bCs/>
          <w:color w:val="444441"/>
          <w:sz w:val="22"/>
          <w:szCs w:val="22"/>
        </w:rPr>
        <w:t xml:space="preserve">7.5 Output redaction and audit</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FR-OR-01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redact secrets/PII from outgoing responses and actions per policy.</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FR-OR-02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block outbound actions that would move protected-class data to a disallowed destination.</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FR-AL-01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record every mediation decision to an append-only, tamper-evident audit log.</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FR-AL-02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support full session replay from the audit log for forensic analysis.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FR-AL-03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forward audit events to an external SIEM.</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bl>
    <w:p>
      <w:pPr>
        <w:pStyle w:val="Heading3"/>
        <w:spacing w:after="70" w:before="160"/>
      </w:pPr>
      <w:r>
        <w:rPr>
          <w:rFonts w:ascii="Calibri" w:cs="Calibri" w:eastAsia="Calibri" w:hAnsi="Calibri"/>
          <w:b/>
          <w:bCs/>
          <w:color w:val="444441"/>
          <w:sz w:val="22"/>
          <w:szCs w:val="22"/>
        </w:rPr>
        <w:t xml:space="preserve">7.6 Policy and control plane</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Pri.</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FR-CP-01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store policy declaratively with versioning and rollback.</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FR-CP-02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control plane shall validate policy before activation and support staged (shadow → enforce) rollout.</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FR-CP-03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control plane shall be isolated from the data plane so its outage does not block live mediation.</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FR-CP-04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expose dashboards for verdict rates, block rates, latency, and false-positive review.</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w:t>
            </w:r>
          </w:p>
        </w:tc>
      </w:tr>
    </w:tbl>
    <w:p>
      <w:pPr>
        <w:pStyle w:val="Heading1"/>
        <w:spacing w:after="140" w:before="320"/>
      </w:pPr>
      <w:r>
        <w:rPr>
          <w:rFonts w:ascii="Calibri" w:cs="Calibri" w:eastAsia="Calibri" w:hAnsi="Calibri"/>
          <w:b/>
          <w:bCs/>
          <w:color w:val="0F5132"/>
          <w:sz w:val="30"/>
          <w:szCs w:val="30"/>
        </w:rPr>
        <w:t xml:space="preserve">8. Non-functional requirements</w:t>
      </w:r>
    </w:p>
    <w:p>
      <w:pPr>
        <w:pStyle w:val="Heading3"/>
        <w:spacing w:after="70" w:before="160"/>
      </w:pPr>
      <w:r>
        <w:rPr>
          <w:rFonts w:ascii="Calibri" w:cs="Calibri" w:eastAsia="Calibri" w:hAnsi="Calibri"/>
          <w:b/>
          <w:bCs/>
          <w:color w:val="444441"/>
          <w:sz w:val="22"/>
          <w:szCs w:val="22"/>
        </w:rPr>
        <w:t xml:space="preserve">8.1 Performance and latency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NFR-PERF-01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Added latency on the fast path (rule pre-filter + classifier + policy) per mediated call.</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p50 &lt; 120 ms, p95 &lt; 400 ms</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NFR-PERF-02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Additional latency when an optional LLM-based alignment audit is invoked for high-risk actions.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one model inference</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NFR-PERF-03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engine decision latency (deterministic path).</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p95 &lt; 10 ms</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NFR-PERF-04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Audit logging shall not block the request path.</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asynchronous, 0 ms on path</w:t>
            </w:r>
          </w:p>
        </w:tc>
      </w:tr>
    </w:tbl>
    <w:p>
      <w:pPr>
        <w:pStyle w:val="Heading3"/>
        <w:spacing w:after="70" w:before="160"/>
      </w:pPr>
      <w:r>
        <w:rPr>
          <w:rFonts w:ascii="Calibri" w:cs="Calibri" w:eastAsia="Calibri" w:hAnsi="Calibri"/>
          <w:b/>
          <w:bCs/>
          <w:color w:val="444441"/>
          <w:sz w:val="22"/>
          <w:szCs w:val="22"/>
        </w:rPr>
        <w:t xml:space="preserve">8.2 Scalability and throughput</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NFR-SCAL-01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Sustained mediated requests per instance at target latency.</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100 req/s</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NFR-SCAL-02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Horizontal scaling of gateway and scanner tiers.</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linear to N replicas</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NFR-SCAL-03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Scanner throughput via request batching.</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configurable batch size</w:t>
            </w:r>
          </w:p>
        </w:tc>
      </w:tr>
    </w:tbl>
    <w:p>
      <w:pPr>
        <w:pStyle w:val="Heading3"/>
        <w:spacing w:after="70" w:before="160"/>
      </w:pPr>
      <w:r>
        <w:rPr>
          <w:rFonts w:ascii="Calibri" w:cs="Calibri" w:eastAsia="Calibri" w:hAnsi="Calibri"/>
          <w:b/>
          <w:bCs/>
          <w:color w:val="444441"/>
          <w:sz w:val="22"/>
          <w:szCs w:val="22"/>
        </w:rPr>
        <w:t xml:space="preserve">8.3 Reliability and availability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NFR-AVAIL-01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Availability of the mediation data plane.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99.9%</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NFR-AVAIL-02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No single point of failure in the data plane (replicas, health checks, failover).</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NFR-AVAIL-03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Control-plane outage must not stop live mediation.</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NFR-REL-01</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Deterministic behaviour: identical input + policy yields identical decision.</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bl>
    <w:p>
      <w:pPr>
        <w:pStyle w:val="Heading3"/>
        <w:spacing w:after="70" w:before="160"/>
      </w:pPr>
      <w:r>
        <w:rPr>
          <w:rFonts w:ascii="Calibri" w:cs="Calibri" w:eastAsia="Calibri" w:hAnsi="Calibri"/>
          <w:b/>
          <w:bCs/>
          <w:color w:val="444441"/>
          <w:sz w:val="22"/>
          <w:szCs w:val="22"/>
        </w:rPr>
        <w:t xml:space="preserve">8.4 Security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NFR-SEC-01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mediator shall itself resist injection aimed at its own scanner/prompts.</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NFR-SEC-02</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and audit stores shall enforce integrity (tamper-evidence) and access control.</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NFR-SEC-03</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All inter-component traffic shall be authenticated and encrypted in transit.</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NFR-SEC-04</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Secrets and model credentials shall be managed via a secrets manager, never in code/config.</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bl>
    <w:p>
      <w:pPr>
        <w:pStyle w:val="Heading3"/>
        <w:spacing w:after="70" w:before="160"/>
      </w:pPr>
      <w:r>
        <w:rPr>
          <w:rFonts w:ascii="Calibri" w:cs="Calibri" w:eastAsia="Calibri" w:hAnsi="Calibri"/>
          <w:b/>
          <w:bCs/>
          <w:color w:val="444441"/>
          <w:sz w:val="22"/>
          <w:szCs w:val="22"/>
        </w:rPr>
        <w:t xml:space="preserve">8.5 Observability, compatibility, maintainability</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1250"/>
        <w:gridCol w:w="6910"/>
        <w:gridCol w:w="1200"/>
      </w:tblGrid>
      <w:tr>
        <w:trPr>
          <w:tblHeader/>
        </w:trPr>
        <w:tc>
          <w:tcPr>
            <w:tcW w:type="dxa" w:w="125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ID</w:t>
            </w:r>
          </w:p>
        </w:tc>
        <w:tc>
          <w:tcPr>
            <w:tcW w:type="dxa" w:w="691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Requirement</w:t>
            </w:r>
          </w:p>
        </w:tc>
        <w:tc>
          <w:tcPr>
            <w:tcW w:type="dxa" w:w="1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NFR-OBS-01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system shall emit structured logs, metrics, and traces (OpenTelemetry) for every module.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NFR-COMP-01</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core shall be framework-agnostic; adding a new framework adapter shall not change the core.</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NFR-COMP-02</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The scanner model shall be swappable (hosted, distilled, or third-party) without API change.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r>
        <w:tc>
          <w:tcPr>
            <w:tcW w:type="dxa" w:w="125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NFR-MAINT-01</w:t>
            </w:r>
          </w:p>
        </w:tc>
        <w:tc>
          <w:tcPr>
            <w:tcW w:type="dxa" w:w="691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New detectors/redactors shall be addable via a plugin interface (a regex or an LLM prompt) without a core release.</w:t>
            </w:r>
          </w:p>
        </w:tc>
        <w:tc>
          <w:tcPr>
            <w:tcW w:type="dxa" w:w="1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w:t>
            </w:r>
          </w:p>
        </w:tc>
      </w:tr>
      <w:tr>
        <w:tc>
          <w:tcPr>
            <w:tcW w:type="dxa" w:w="125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NFR-PRIV-01</w:t>
            </w:r>
          </w:p>
        </w:tc>
        <w:tc>
          <w:tcPr>
            <w:tcW w:type="dxa" w:w="691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Content sent to any external model for scanning shall be governed by a configurable data-handling policy (incl. no-retention mode).</w:t>
            </w:r>
          </w:p>
        </w:tc>
        <w:tc>
          <w:tcPr>
            <w:tcW w:type="dxa" w:w="1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required</w:t>
            </w:r>
          </w:p>
        </w:tc>
      </w:tr>
    </w:tbl>
    <w:p>
      <w:pPr>
        <w:pStyle w:val="Heading1"/>
        <w:spacing w:after="140" w:before="320"/>
      </w:pPr>
      <w:r>
        <w:rPr>
          <w:rFonts w:ascii="Calibri" w:cs="Calibri" w:eastAsia="Calibri" w:hAnsi="Calibri"/>
          <w:b/>
          <w:bCs/>
          <w:color w:val="0F5132"/>
          <w:sz w:val="30"/>
          <w:szCs w:val="30"/>
        </w:rPr>
        <w:t xml:space="preserve">9. Fail-open vs fail-closed policy</w:t>
      </w:r>
    </w:p>
    <w:p>
      <w:pPr>
        <w:spacing w:after="120" w:line="276"/>
      </w:pPr>
      <w:r>
        <w:rPr>
          <w:rFonts w:ascii="Calibri" w:cs="Calibri" w:eastAsia="Calibri" w:hAnsi="Calibri"/>
          <w:color w:val="1A1A17"/>
          <w:sz w:val="21"/>
          <w:szCs w:val="21"/>
        </w:rPr>
        <w:t xml:space="preserve">Because the mediator is on the critical path, its behaviour under its own failure or timeout must be explicit and configurable. The default policy balances safety against utility by operation risk:</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2900"/>
        <w:gridCol w:w="2900"/>
        <w:gridCol w:w="3560"/>
      </w:tblGrid>
      <w:tr>
        <w:trPr>
          <w:tblHeader/>
        </w:trPr>
        <w:tc>
          <w:tcPr>
            <w:tcW w:type="dxa" w:w="29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Operation class</w:t>
            </w:r>
          </w:p>
        </w:tc>
        <w:tc>
          <w:tcPr>
            <w:tcW w:type="dxa" w:w="29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On mediator error / timeout</w:t>
            </w:r>
          </w:p>
        </w:tc>
        <w:tc>
          <w:tcPr>
            <w:tcW w:type="dxa" w:w="35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Rationale</w:t>
            </w:r>
          </w:p>
        </w:tc>
      </w:tr>
      <w:tr>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Read of low-risk content (e.g., benign retrieval)</w:t>
            </w:r>
          </w:p>
        </w:tc>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Fail-open: allow, tag as unverified, log</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Preserves utility; downstream policy still limits what untrusted data can do.</w:t>
            </w:r>
          </w:p>
        </w:tc>
      </w:tr>
      <w:tr>
        <w:tc>
          <w:tcPr>
            <w:tcW w:type="dxa" w:w="2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Tool execution (any side effect)</w:t>
            </w:r>
          </w:p>
        </w:tc>
        <w:tc>
          <w:tcPr>
            <w:tcW w:type="dxa" w:w="2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Fail-closed: deny</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An unverified side effect is unacceptable; blocking is safe.</w:t>
            </w:r>
          </w:p>
        </w:tc>
      </w:tr>
      <w:tr>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Irreversible / high-impact action</w:t>
            </w:r>
          </w:p>
        </w:tc>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Fail-closed: deny + require approval</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Highest blast radius; never execute unverified.</w:t>
            </w:r>
          </w:p>
        </w:tc>
      </w:tr>
      <w:tr>
        <w:tc>
          <w:tcPr>
            <w:tcW w:type="dxa" w:w="2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Memory write</w:t>
            </w:r>
          </w:p>
        </w:tc>
        <w:tc>
          <w:tcPr>
            <w:tcW w:type="dxa" w:w="2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Fail-closed: quarantine</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Prevents persistent poisoning during degraded operation.</w:t>
            </w:r>
          </w:p>
        </w:tc>
      </w:tr>
      <w:tr>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Outbound response</w:t>
            </w:r>
          </w:p>
        </w:tc>
        <w:tc>
          <w:tcPr>
            <w:tcW w:type="dxa" w:w="2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Fail-closed on redaction failure</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Prevents leaking unredacted data.</w:t>
            </w:r>
          </w:p>
        </w:tc>
      </w:tr>
    </w:tbl>
    <w:p>
      <w:pPr>
        <w:spacing w:after="120" w:line="276"/>
      </w:pPr>
      <w:r>
        <w:rPr>
          <w:rFonts w:ascii="Calibri" w:cs="Calibri" w:eastAsia="Calibri" w:hAnsi="Calibri"/>
          <w:color w:val="1A1A17"/>
          <w:sz w:val="21"/>
          <w:szCs w:val="21"/>
        </w:rPr>
        <w:t xml:space="preserve">Every fail-open decision is explicitly recorded so operators can see exactly what proceeded unverified and why.</w:t>
      </w:r>
    </w:p>
    <w:p>
      <w:pPr>
        <w:pStyle w:val="Heading1"/>
        <w:spacing w:after="140" w:before="320"/>
      </w:pPr>
      <w:r>
        <w:rPr>
          <w:rFonts w:ascii="Calibri" w:cs="Calibri" w:eastAsia="Calibri" w:hAnsi="Calibri"/>
          <w:b/>
          <w:bCs/>
          <w:color w:val="0F5132"/>
          <w:sz w:val="30"/>
          <w:szCs w:val="30"/>
        </w:rPr>
        <w:t xml:space="preserve">10. API and integration</w:t>
      </w:r>
    </w:p>
    <w:p>
      <w:pPr>
        <w:pStyle w:val="Heading2"/>
        <w:spacing w:after="100" w:before="240"/>
      </w:pPr>
      <w:r>
        <w:rPr>
          <w:rFonts w:ascii="Calibri" w:cs="Calibri" w:eastAsia="Calibri" w:hAnsi="Calibri"/>
          <w:b/>
          <w:bCs/>
          <w:color w:val="0F6E56"/>
          <w:sz w:val="25"/>
          <w:szCs w:val="25"/>
        </w:rPr>
        <w:t xml:space="preserve">10.1 Integration model</w:t>
      </w:r>
    </w:p>
    <w:p>
      <w:pPr>
        <w:spacing w:after="120" w:line="276"/>
      </w:pPr>
      <w:r>
        <w:rPr>
          <w:rFonts w:ascii="Calibri" w:cs="Calibri" w:eastAsia="Calibri" w:hAnsi="Calibri"/>
          <w:color w:val="1A1A17"/>
          <w:sz w:val="21"/>
          <w:szCs w:val="21"/>
        </w:rPr>
        <w:t xml:space="preserve">Applications integrate either through the SDK (framework adapters that wrap retrieval, tool execution, memory, and output) or by calling the mediation service directly. Both routes exercise the same pipeline and policy.</w:t>
      </w:r>
    </w:p>
    <w:p>
      <w:pPr>
        <w:pStyle w:val="Heading2"/>
        <w:spacing w:after="100" w:before="240"/>
      </w:pPr>
      <w:r>
        <w:rPr>
          <w:rFonts w:ascii="Calibri" w:cs="Calibri" w:eastAsia="Calibri" w:hAnsi="Calibri"/>
          <w:b/>
          <w:bCs/>
          <w:color w:val="0F6E56"/>
          <w:sz w:val="25"/>
          <w:szCs w:val="25"/>
        </w:rPr>
        <w:t xml:space="preserve">10.2 Core endpoints (illustrative)</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3400"/>
        <w:gridCol w:w="5960"/>
      </w:tblGrid>
      <w:tr>
        <w:trPr>
          <w:tblHeader/>
        </w:trPr>
        <w:tc>
          <w:tcPr>
            <w:tcW w:type="dxa" w:w="34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Endpoint</w:t>
            </w:r>
          </w:p>
        </w:tc>
        <w:tc>
          <w:tcPr>
            <w:tcW w:type="dxa" w:w="59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Purpose</w:t>
            </w:r>
          </w:p>
        </w:tc>
      </w:tr>
      <w:tr>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POST /v1/mediate/context</w:t>
            </w:r>
          </w:p>
        </w:tc>
        <w:tc>
          <w:tcPr>
            <w:tcW w:type="dxa" w:w="59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Label + scan retrieved/tool content; returns verdict, labels, sanitised form.</w:t>
            </w:r>
          </w:p>
        </w:tc>
      </w:tr>
      <w:tr>
        <w:tc>
          <w:tcPr>
            <w:tcW w:type="dxa" w:w="3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POST /v1/mediate/tool-call</w:t>
            </w:r>
          </w:p>
        </w:tc>
        <w:tc>
          <w:tcPr>
            <w:tcW w:type="dxa" w:w="59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Authorise a proposed tool call; returns allow / deny / require-approval + reason.</w:t>
            </w:r>
          </w:p>
        </w:tc>
      </w:tr>
      <w:tr>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POST /v1/mediate/memory/write</w:t>
            </w:r>
          </w:p>
        </w:tc>
        <w:tc>
          <w:tcPr>
            <w:tcW w:type="dxa" w:w="59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Vet a candidate memory write; returns persist / quarantine / reject + score.</w:t>
            </w:r>
          </w:p>
        </w:tc>
      </w:tr>
      <w:tr>
        <w:tc>
          <w:tcPr>
            <w:tcW w:type="dxa" w:w="3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POST /v1/mediate/memory/read</w:t>
            </w:r>
          </w:p>
        </w:tc>
        <w:tc>
          <w:tcPr>
            <w:tcW w:type="dxa" w:w="59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Verify a memory read; returns verified / withhold + integrity score.</w:t>
            </w:r>
          </w:p>
        </w:tc>
      </w:tr>
      <w:tr>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POST /v1/mediate/output</w:t>
            </w:r>
          </w:p>
        </w:tc>
        <w:tc>
          <w:tcPr>
            <w:tcW w:type="dxa" w:w="59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Redact and authorise an outbound response/action.</w:t>
            </w:r>
          </w:p>
        </w:tc>
      </w:tr>
      <w:tr>
        <w:tc>
          <w:tcPr>
            <w:tcW w:type="dxa" w:w="3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GET  /v1/audit/replay/{sessionId}</w:t>
            </w:r>
          </w:p>
        </w:tc>
        <w:tc>
          <w:tcPr>
            <w:tcW w:type="dxa" w:w="59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Return the replayable decision trail for a session.</w:t>
            </w:r>
          </w:p>
        </w:tc>
      </w:tr>
      <w:tr>
        <w:tc>
          <w:tcPr>
            <w:tcW w:type="dxa" w:w="3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GET  /v1/policy / PUT /v1/policy</w:t>
            </w:r>
          </w:p>
        </w:tc>
        <w:tc>
          <w:tcPr>
            <w:tcW w:type="dxa" w:w="59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Read / update declarative policy (control plane, authz-gated).</w:t>
            </w:r>
          </w:p>
        </w:tc>
      </w:tr>
    </w:tbl>
    <w:p>
      <w:pPr>
        <w:spacing w:after="120" w:line="276"/>
      </w:pPr>
      <w:r>
        <w:rPr>
          <w:rFonts w:ascii="Calibri" w:cs="Calibri" w:eastAsia="Calibri" w:hAnsi="Calibri"/>
          <w:b/>
          <w:bCs/>
          <w:color w:val="1A1A17"/>
          <w:sz w:val="21"/>
          <w:szCs w:val="21"/>
        </w:rPr>
        <w:t xml:space="preserve">Contract note: </w:t>
      </w:r>
      <w:r>
        <w:rPr>
          <w:rFonts w:ascii="Calibri" w:cs="Calibri" w:eastAsia="Calibri" w:hAnsi="Calibri"/>
          <w:color w:val="1A1A17"/>
          <w:sz w:val="21"/>
          <w:szCs w:val="21"/>
        </w:rPr>
        <w:t xml:space="preserve">every mediation response includes a decision, a machine-readable reason code, the trust labels involved, and an audit reference, so callers can react programmatically and every decision is traceable.</w:t>
      </w:r>
    </w:p>
    <w:p>
      <w:pPr>
        <w:pStyle w:val="Heading1"/>
        <w:spacing w:after="140" w:before="320"/>
      </w:pPr>
      <w:r>
        <w:rPr>
          <w:rFonts w:ascii="Calibri" w:cs="Calibri" w:eastAsia="Calibri" w:hAnsi="Calibri"/>
          <w:b/>
          <w:bCs/>
          <w:color w:val="0F5132"/>
          <w:sz w:val="30"/>
          <w:szCs w:val="30"/>
        </w:rPr>
        <w:t xml:space="preserve">11. Technology stack</w:t>
      </w:r>
    </w:p>
    <w:p>
      <w:pPr>
        <w:spacing w:after="120" w:line="276"/>
      </w:pPr>
      <w:r>
        <w:rPr>
          <w:rFonts w:ascii="Calibri" w:cs="Calibri" w:eastAsia="Calibri" w:hAnsi="Calibri"/>
          <w:color w:val="1A1A17"/>
          <w:sz w:val="21"/>
          <w:szCs w:val="21"/>
        </w:rPr>
        <w:t xml:space="preserve">Indicative; specific choices are deployment-configurable. The design constrains interfaces, not vendors.</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2200"/>
        <w:gridCol w:w="3560"/>
        <w:gridCol w:w="3600"/>
      </w:tblGrid>
      <w:tr>
        <w:trPr>
          <w:tblHeader/>
        </w:trPr>
        <w:tc>
          <w:tcPr>
            <w:tcW w:type="dxa" w:w="2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Layer</w:t>
            </w:r>
          </w:p>
        </w:tc>
        <w:tc>
          <w:tcPr>
            <w:tcW w:type="dxa" w:w="35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Technology (indicative)</w:t>
            </w:r>
          </w:p>
        </w:tc>
        <w:tc>
          <w:tcPr>
            <w:tcW w:type="dxa" w:w="36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Rationale</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Mediation service</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Python service (FastAPI) + gRPC; async I/O</w:t>
            </w:r>
          </w:p>
        </w:tc>
        <w:tc>
          <w:tcPr>
            <w:tcW w:type="dxa" w:w="36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Fast to build, rich ML ecosystem, matches research tooling.</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Injection scanner</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DeBERTa-class classifier via ONNX Runtime / optimised serving</w:t>
            </w:r>
          </w:p>
        </w:tc>
        <w:tc>
          <w:tcPr>
            <w:tcW w:type="dxa" w:w="36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Strong text-classification baseline; batched, GPU or distilled-CPU.</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Optional alignment audit</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Hosted LLM (chain-of-thought auditor) for high-risk actions only</w:t>
            </w:r>
          </w:p>
        </w:tc>
        <w:tc>
          <w:tcPr>
            <w:tcW w:type="dxa" w:w="36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Higher recall on subtle indirect injection where latency budget allows.</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engine</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Declarative rules (policy-as-code) with a constraint evaluator</w:t>
            </w:r>
          </w:p>
        </w:tc>
        <w:tc>
          <w:tcPr>
            <w:tcW w:type="dxa" w:w="36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Deterministic, versioned, auditable authorisation.</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store</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Relational DB (PostgreSQL) + Redis cache</w:t>
            </w:r>
          </w:p>
        </w:tc>
        <w:tc>
          <w:tcPr>
            <w:tcW w:type="dxa" w:w="36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Versioned policy, hot-path caching, rate-limit counters.</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Audit pipeline</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Durable queue (e.g., Kafka) → append-only object storage → SIEM</w:t>
            </w:r>
          </w:p>
        </w:tc>
        <w:tc>
          <w:tcPr>
            <w:tcW w:type="dxa" w:w="36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Async, ordered, tamper-evident, off the request path.</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Sandboxed executor</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Container/OS-level isolation with least privilege</w:t>
            </w:r>
          </w:p>
        </w:tc>
        <w:tc>
          <w:tcPr>
            <w:tcW w:type="dxa" w:w="36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Contains tool/code execution blast radius.</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Observability</w:t>
            </w:r>
          </w:p>
        </w:tc>
        <w:tc>
          <w:tcPr>
            <w:tcW w:type="dxa" w:w="35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OpenTelemetry (logs, metrics, traces)</w:t>
            </w:r>
          </w:p>
        </w:tc>
        <w:tc>
          <w:tcPr>
            <w:tcW w:type="dxa" w:w="36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Uniform instrumentation across modules.</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Packaging / deploy</w:t>
            </w:r>
          </w:p>
        </w:tc>
        <w:tc>
          <w:tcPr>
            <w:tcW w:type="dxa" w:w="35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Docker + Kubernetes; sidecar or gateway</w:t>
            </w:r>
          </w:p>
        </w:tc>
        <w:tc>
          <w:tcPr>
            <w:tcW w:type="dxa" w:w="36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Portable, horizontally scalable, HA.</w:t>
            </w:r>
          </w:p>
        </w:tc>
      </w:tr>
    </w:tbl>
    <w:p>
      <w:pPr>
        <w:pStyle w:val="Heading1"/>
        <w:spacing w:after="140" w:before="320"/>
      </w:pPr>
      <w:r>
        <w:rPr>
          <w:rFonts w:ascii="Calibri" w:cs="Calibri" w:eastAsia="Calibri" w:hAnsi="Calibri"/>
          <w:b/>
          <w:bCs/>
          <w:color w:val="0F5132"/>
          <w:sz w:val="30"/>
          <w:szCs w:val="30"/>
        </w:rPr>
        <w:t xml:space="preserve">12. Key data structures</w:t>
      </w:r>
    </w:p>
    <w:p>
      <w:pPr>
        <w:spacing w:after="120" w:line="276"/>
      </w:pPr>
      <w:r>
        <w:rPr>
          <w:rFonts w:ascii="Calibri" w:cs="Calibri" w:eastAsia="Calibri" w:hAnsi="Calibri"/>
          <w:color w:val="1A1A17"/>
          <w:sz w:val="21"/>
          <w:szCs w:val="21"/>
        </w:rPr>
        <w:t xml:space="preserve">Four structures anchor the system; fields are indicative.</w:t>
      </w:r>
    </w:p>
    <w:p>
      <w:pPr>
        <w:pStyle w:val="Heading3"/>
        <w:spacing w:after="70" w:before="160"/>
      </w:pPr>
      <w:r>
        <w:rPr>
          <w:rFonts w:ascii="Calibri" w:cs="Calibri" w:eastAsia="Calibri" w:hAnsi="Calibri"/>
          <w:b/>
          <w:bCs/>
          <w:color w:val="444441"/>
          <w:sz w:val="22"/>
          <w:szCs w:val="22"/>
        </w:rPr>
        <w:t xml:space="preserve">12.1 Context envelope</w:t>
      </w:r>
    </w:p>
    <w:p>
      <w:pPr>
        <w:pStyle w:val="ListParagraph"/>
        <w:numPr>
          <w:ilvl w:val="0"/>
          <w:numId w:val="2"/>
        </w:numPr>
        <w:spacing w:after="60" w:line="272"/>
      </w:pPr>
      <w:r>
        <w:rPr>
          <w:rFonts w:ascii="Calibri" w:cs="Calibri" w:eastAsia="Calibri" w:hAnsi="Calibri"/>
          <w:color w:val="1A1A17"/>
          <w:sz w:val="21"/>
          <w:szCs w:val="21"/>
        </w:rPr>
        <w:t xml:space="preserve">id, session_id, content, trust_label, provenance {source, uri, timestamp, upstream_ids}, taint_set, scanner_verdict {decision, score, rationale}.</w:t>
      </w:r>
    </w:p>
    <w:p>
      <w:pPr>
        <w:pStyle w:val="Heading3"/>
        <w:spacing w:after="70" w:before="160"/>
      </w:pPr>
      <w:r>
        <w:rPr>
          <w:rFonts w:ascii="Calibri" w:cs="Calibri" w:eastAsia="Calibri" w:hAnsi="Calibri"/>
          <w:b/>
          <w:bCs/>
          <w:color w:val="444441"/>
          <w:sz w:val="22"/>
          <w:szCs w:val="22"/>
        </w:rPr>
        <w:t xml:space="preserve">12.2 Tool-call request</w:t>
      </w:r>
    </w:p>
    <w:p>
      <w:pPr>
        <w:pStyle w:val="ListParagraph"/>
        <w:numPr>
          <w:ilvl w:val="0"/>
          <w:numId w:val="2"/>
        </w:numPr>
        <w:spacing w:after="60" w:line="272"/>
      </w:pPr>
      <w:r>
        <w:rPr>
          <w:rFonts w:ascii="Calibri" w:cs="Calibri" w:eastAsia="Calibri" w:hAnsi="Calibri"/>
          <w:color w:val="1A1A17"/>
          <w:sz w:val="21"/>
          <w:szCs w:val="21"/>
        </w:rPr>
        <w:t xml:space="preserve">tool_name, arguments, argument_trust_labels, invoking_context_id, policy_decision {decision, reason_code, approver_required}.</w:t>
      </w:r>
    </w:p>
    <w:p>
      <w:pPr>
        <w:pStyle w:val="Heading3"/>
        <w:spacing w:after="70" w:before="160"/>
      </w:pPr>
      <w:r>
        <w:rPr>
          <w:rFonts w:ascii="Calibri" w:cs="Calibri" w:eastAsia="Calibri" w:hAnsi="Calibri"/>
          <w:b/>
          <w:bCs/>
          <w:color w:val="444441"/>
          <w:sz w:val="22"/>
          <w:szCs w:val="22"/>
        </w:rPr>
        <w:t xml:space="preserve">12.3 Memory record</w:t>
      </w:r>
    </w:p>
    <w:p>
      <w:pPr>
        <w:pStyle w:val="ListParagraph"/>
        <w:numPr>
          <w:ilvl w:val="0"/>
          <w:numId w:val="2"/>
        </w:numPr>
        <w:spacing w:after="60" w:line="272"/>
      </w:pPr>
      <w:r>
        <w:rPr>
          <w:rFonts w:ascii="Calibri" w:cs="Calibri" w:eastAsia="Calibri" w:hAnsi="Calibri"/>
          <w:color w:val="1A1A17"/>
          <w:sz w:val="21"/>
          <w:szCs w:val="21"/>
        </w:rPr>
        <w:t xml:space="preserve">id, content, source_provenance, trust_label, integrity_score, status {active | quarantined | rejected}, created_at, last_verified_at, content_hash.</w:t>
      </w:r>
    </w:p>
    <w:p>
      <w:pPr>
        <w:pStyle w:val="Heading3"/>
        <w:spacing w:after="70" w:before="160"/>
      </w:pPr>
      <w:r>
        <w:rPr>
          <w:rFonts w:ascii="Calibri" w:cs="Calibri" w:eastAsia="Calibri" w:hAnsi="Calibri"/>
          <w:b/>
          <w:bCs/>
          <w:color w:val="444441"/>
          <w:sz w:val="22"/>
          <w:szCs w:val="22"/>
        </w:rPr>
        <w:t xml:space="preserve">12.4 Audit event</w:t>
      </w:r>
    </w:p>
    <w:p>
      <w:pPr>
        <w:pStyle w:val="ListParagraph"/>
        <w:numPr>
          <w:ilvl w:val="0"/>
          <w:numId w:val="2"/>
        </w:numPr>
        <w:spacing w:after="60" w:line="272"/>
      </w:pPr>
      <w:r>
        <w:rPr>
          <w:rFonts w:ascii="Calibri" w:cs="Calibri" w:eastAsia="Calibri" w:hAnsi="Calibri"/>
          <w:color w:val="1A1A17"/>
          <w:sz w:val="21"/>
          <w:szCs w:val="21"/>
        </w:rPr>
        <w:t xml:space="preserve">seq_no, session_id, module, decision, reason_code, input_provenance, timestamp, prev_hash (tamper-evidence).</w:t>
      </w:r>
    </w:p>
    <w:p>
      <w:pPr>
        <w:pStyle w:val="Heading1"/>
        <w:spacing w:after="140" w:before="320"/>
      </w:pPr>
      <w:r>
        <w:rPr>
          <w:rFonts w:ascii="Calibri" w:cs="Calibri" w:eastAsia="Calibri" w:hAnsi="Calibri"/>
          <w:b/>
          <w:bCs/>
          <w:color w:val="0F5132"/>
          <w:sz w:val="30"/>
          <w:szCs w:val="30"/>
        </w:rPr>
        <w:t xml:space="preserve">13. Security and compliance mapping</w:t>
      </w:r>
    </w:p>
    <w:p>
      <w:pPr>
        <w:spacing w:after="120" w:line="276"/>
      </w:pPr>
      <w:r>
        <w:rPr>
          <w:rFonts w:ascii="Calibri" w:cs="Calibri" w:eastAsia="Calibri" w:hAnsi="Calibri"/>
          <w:color w:val="1A1A17"/>
          <w:sz w:val="21"/>
          <w:szCs w:val="21"/>
        </w:rPr>
        <w:t xml:space="preserve">TrustMediator maps directly onto the OWASP Top 10 for Agentic Applications (2026), giving deployers a recognised compliance vocabulary. Each risk is addressed by one or more modules; several risks are covered in defence-in-depth.</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3000"/>
        <w:gridCol w:w="6360"/>
      </w:tblGrid>
      <w:tr>
        <w:trPr>
          <w:tblHeader/>
        </w:trPr>
        <w:tc>
          <w:tcPr>
            <w:tcW w:type="dxa" w:w="30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OWASP risk (2026)</w:t>
            </w:r>
          </w:p>
        </w:tc>
        <w:tc>
          <w:tcPr>
            <w:tcW w:type="dxa" w:w="63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How TrustMediator addresses it</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ASI01 Agent goal hijack</w:t>
            </w:r>
          </w:p>
        </w:tc>
        <w:tc>
          <w:tcPr>
            <w:tcW w:type="dxa" w:w="63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Injection scanner + trust router keep untrusted content out of the control path; approval gates on goal-changing actions.</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ASI02 Tool misuse &amp; exploitation</w:t>
            </w:r>
          </w:p>
        </w:tc>
        <w:tc>
          <w:tcPr>
            <w:tcW w:type="dxa" w:w="63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Least-agency policy engine: allow-lists, argument constraints, quotas, approval for high-impact calls.</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ASI03 Identity &amp; privilege abuse</w:t>
            </w:r>
          </w:p>
        </w:tc>
        <w:tc>
          <w:tcPr>
            <w:tcW w:type="dxa" w:w="63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Per-agent least-agency policy; untrusted-derived arguments cannot silently authorise privileged tools.</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ASI05 Unexpected code execution</w:t>
            </w:r>
          </w:p>
        </w:tc>
        <w:tc>
          <w:tcPr>
            <w:tcW w:type="dxa" w:w="63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Policy gating + sandboxed executor contain generated code and commands.</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ASI06 Memory &amp; context poisoning</w:t>
            </w:r>
          </w:p>
        </w:tc>
        <w:tc>
          <w:tcPr>
            <w:tcW w:type="dxa" w:w="63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Memory integrity layer vets writes and verifies reads — the primary contribution.</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ASI09 Human-agent trust exploitation</w:t>
            </w:r>
          </w:p>
        </w:tc>
        <w:tc>
          <w:tcPr>
            <w:tcW w:type="dxa" w:w="63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Mandatory human-approval gates for irreversible / high-impact actions.</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ASI10 Rogue agents (behaviour drift)</w:t>
            </w:r>
          </w:p>
        </w:tc>
        <w:tc>
          <w:tcPr>
            <w:tcW w:type="dxa" w:w="63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Provenance + audit log enable behavioural monitoring and drift detection over time.</w:t>
            </w:r>
          </w:p>
        </w:tc>
      </w:tr>
    </w:tbl>
    <w:p>
      <w:pPr>
        <w:spacing w:after="120" w:line="276"/>
      </w:pPr>
      <w:r>
        <w:rPr>
          <w:rFonts w:ascii="Calibri" w:cs="Calibri" w:eastAsia="Calibri" w:hAnsi="Calibri"/>
          <w:b/>
          <w:bCs/>
          <w:i/>
          <w:iCs/>
          <w:color w:val="1A1A17"/>
          <w:sz w:val="21"/>
          <w:szCs w:val="21"/>
        </w:rPr>
        <w:t xml:space="preserve">Note: </w:t>
      </w:r>
      <w:r>
        <w:rPr>
          <w:rFonts w:ascii="Calibri" w:cs="Calibri" w:eastAsia="Calibri" w:hAnsi="Calibri"/>
          <w:i/>
          <w:iCs/>
          <w:color w:val="1A1A17"/>
          <w:sz w:val="21"/>
          <w:szCs w:val="21"/>
        </w:rPr>
        <w:t xml:space="preserve">TrustMediator provides technical controls; organisational governance (inventory, review, incident response) remains the deployer's responsibility.</w:t>
      </w:r>
    </w:p>
    <w:p>
      <w:pPr>
        <w:pStyle w:val="Heading1"/>
        <w:spacing w:after="140" w:before="320"/>
      </w:pPr>
      <w:r>
        <w:rPr>
          <w:rFonts w:ascii="Calibri" w:cs="Calibri" w:eastAsia="Calibri" w:hAnsi="Calibri"/>
          <w:b/>
          <w:bCs/>
          <w:color w:val="0F5132"/>
          <w:sz w:val="30"/>
          <w:szCs w:val="30"/>
        </w:rPr>
        <w:t xml:space="preserve">14. Evaluation and acceptance criteria</w:t>
      </w:r>
    </w:p>
    <w:p>
      <w:pPr>
        <w:pStyle w:val="Heading2"/>
        <w:spacing w:after="100" w:before="240"/>
      </w:pPr>
      <w:r>
        <w:rPr>
          <w:rFonts w:ascii="Calibri" w:cs="Calibri" w:eastAsia="Calibri" w:hAnsi="Calibri"/>
          <w:b/>
          <w:bCs/>
          <w:color w:val="0F6E56"/>
          <w:sz w:val="25"/>
          <w:szCs w:val="25"/>
        </w:rPr>
        <w:t xml:space="preserve">14.1 Benchmarks and testbed</w:t>
      </w:r>
    </w:p>
    <w:p>
      <w:pPr>
        <w:pStyle w:val="ListParagraph"/>
        <w:numPr>
          <w:ilvl w:val="0"/>
          <w:numId w:val="2"/>
        </w:numPr>
        <w:spacing w:after="60" w:line="272"/>
      </w:pPr>
      <w:r>
        <w:rPr>
          <w:rFonts w:ascii="Calibri" w:cs="Calibri" w:eastAsia="Calibri" w:hAnsi="Calibri"/>
          <w:b/>
          <w:bCs/>
          <w:color w:val="1A1A17"/>
          <w:sz w:val="21"/>
          <w:szCs w:val="21"/>
        </w:rPr>
        <w:t xml:space="preserve">AgentDojo </w:t>
      </w:r>
      <w:r>
        <w:rPr>
          <w:rFonts w:ascii="Calibri" w:cs="Calibri" w:eastAsia="Calibri" w:hAnsi="Calibri"/>
          <w:color w:val="1A1A17"/>
          <w:sz w:val="21"/>
          <w:szCs w:val="21"/>
        </w:rPr>
        <w:t xml:space="preserve">— realistic multi-step agent tasks with indirect injection embedded in tool-returned data (email, banking, travel, workspace).</w:t>
      </w:r>
    </w:p>
    <w:p>
      <w:pPr>
        <w:pStyle w:val="ListParagraph"/>
        <w:numPr>
          <w:ilvl w:val="0"/>
          <w:numId w:val="2"/>
        </w:numPr>
        <w:spacing w:after="60" w:line="272"/>
      </w:pPr>
      <w:r>
        <w:rPr>
          <w:rFonts w:ascii="Calibri" w:cs="Calibri" w:eastAsia="Calibri" w:hAnsi="Calibri"/>
          <w:b/>
          <w:bCs/>
          <w:color w:val="1A1A17"/>
          <w:sz w:val="21"/>
          <w:szCs w:val="21"/>
        </w:rPr>
        <w:t xml:space="preserve">InjecAgent </w:t>
      </w:r>
      <w:r>
        <w:rPr>
          <w:rFonts w:ascii="Calibri" w:cs="Calibri" w:eastAsia="Calibri" w:hAnsi="Calibri"/>
          <w:color w:val="1A1A17"/>
          <w:sz w:val="21"/>
          <w:szCs w:val="21"/>
        </w:rPr>
        <w:t xml:space="preserve">— single-turn tool-output injection covering direct-harm and data-stealing scenarios.</w:t>
      </w:r>
    </w:p>
    <w:p>
      <w:pPr>
        <w:pStyle w:val="ListParagraph"/>
        <w:numPr>
          <w:ilvl w:val="0"/>
          <w:numId w:val="2"/>
        </w:numPr>
        <w:spacing w:after="60" w:line="272"/>
      </w:pPr>
      <w:r>
        <w:rPr>
          <w:rFonts w:ascii="Calibri" w:cs="Calibri" w:eastAsia="Calibri" w:hAnsi="Calibri"/>
          <w:b/>
          <w:bCs/>
          <w:color w:val="1A1A17"/>
          <w:sz w:val="21"/>
          <w:szCs w:val="21"/>
        </w:rPr>
        <w:t xml:space="preserve">Memory-poisoning testbed </w:t>
      </w:r>
      <w:r>
        <w:rPr>
          <w:rFonts w:ascii="Calibri" w:cs="Calibri" w:eastAsia="Calibri" w:hAnsi="Calibri"/>
          <w:color w:val="1A1A17"/>
          <w:sz w:val="21"/>
          <w:szCs w:val="21"/>
        </w:rPr>
        <w:t xml:space="preserve">— purpose-built, derived from published memory-injection / backdoor attack patterns, to measure the memory integrity layer specifically.</w:t>
      </w:r>
    </w:p>
    <w:p>
      <w:pPr>
        <w:pStyle w:val="Heading2"/>
        <w:spacing w:after="100" w:before="240"/>
      </w:pPr>
      <w:r>
        <w:rPr>
          <w:rFonts w:ascii="Calibri" w:cs="Calibri" w:eastAsia="Calibri" w:hAnsi="Calibri"/>
          <w:b/>
          <w:bCs/>
          <w:color w:val="0F6E56"/>
          <w:sz w:val="25"/>
          <w:szCs w:val="25"/>
        </w:rPr>
        <w:t xml:space="preserve">14.2 Key performance indicators</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3000"/>
        <w:gridCol w:w="3200"/>
        <w:gridCol w:w="3160"/>
      </w:tblGrid>
      <w:tr>
        <w:trPr>
          <w:tblHeader/>
        </w:trPr>
        <w:tc>
          <w:tcPr>
            <w:tcW w:type="dxa" w:w="30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Metric</w:t>
            </w:r>
          </w:p>
        </w:tc>
        <w:tc>
          <w:tcPr>
            <w:tcW w:type="dxa" w:w="3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Target</w:t>
            </w:r>
          </w:p>
        </w:tc>
        <w:tc>
          <w:tcPr>
            <w:tcW w:type="dxa" w:w="31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Method</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Attack success rate (injection)</w:t>
            </w:r>
          </w:p>
        </w:tc>
        <w:tc>
          <w:tcPr>
            <w:tcW w:type="dxa" w:w="3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90% relative reduction vs undefended; ASR &lt; 5%</w:t>
            </w:r>
          </w:p>
        </w:tc>
        <w:tc>
          <w:tcPr>
            <w:tcW w:type="dxa" w:w="31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AgentDojo + InjecAgent, strongest attacks</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Memory-poisoning ASR</w:t>
            </w:r>
          </w:p>
        </w:tc>
        <w:tc>
          <w:tcPr>
            <w:tcW w:type="dxa" w:w="3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&lt; 10%</w:t>
            </w:r>
          </w:p>
        </w:tc>
        <w:tc>
          <w:tcPr>
            <w:tcW w:type="dxa" w:w="31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Memory testbed, low poison-rate attacks</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Utility under attack</w:t>
            </w:r>
          </w:p>
        </w:tc>
        <w:tc>
          <w:tcPr>
            <w:tcW w:type="dxa" w:w="3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90% of undefended task completion</w:t>
            </w:r>
          </w:p>
        </w:tc>
        <w:tc>
          <w:tcPr>
            <w:tcW w:type="dxa" w:w="31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AgentDojo benign+attack task success</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False-positive rate (benign blocked)</w:t>
            </w:r>
          </w:p>
        </w:tc>
        <w:tc>
          <w:tcPr>
            <w:tcW w:type="dxa" w:w="3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&lt; 3%</w:t>
            </w:r>
          </w:p>
        </w:tc>
        <w:tc>
          <w:tcPr>
            <w:tcW w:type="dxa" w:w="31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Benign task suite; shadow-mode comparison</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Added latency (fast path)</w:t>
            </w:r>
          </w:p>
        </w:tc>
        <w:tc>
          <w:tcPr>
            <w:tcW w:type="dxa" w:w="3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p95 &lt; 400 ms</w:t>
            </w:r>
          </w:p>
        </w:tc>
        <w:tc>
          <w:tcPr>
            <w:tcW w:type="dxa" w:w="31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Load test at target throughput</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Availability</w:t>
            </w:r>
          </w:p>
        </w:tc>
        <w:tc>
          <w:tcPr>
            <w:tcW w:type="dxa" w:w="3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 99.9%</w:t>
            </w:r>
          </w:p>
        </w:tc>
        <w:tc>
          <w:tcPr>
            <w:tcW w:type="dxa" w:w="31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Fault-injection + soak test</w:t>
            </w:r>
          </w:p>
        </w:tc>
      </w:tr>
    </w:tbl>
    <w:p>
      <w:pPr>
        <w:pStyle w:val="Heading2"/>
        <w:spacing w:after="100" w:before="240"/>
      </w:pPr>
      <w:r>
        <w:rPr>
          <w:rFonts w:ascii="Calibri" w:cs="Calibri" w:eastAsia="Calibri" w:hAnsi="Calibri"/>
          <w:b/>
          <w:bCs/>
          <w:color w:val="0F6E56"/>
          <w:sz w:val="25"/>
          <w:szCs w:val="25"/>
        </w:rPr>
        <w:t xml:space="preserve">14.3 Ablation (a research deliverable)</w:t>
      </w:r>
    </w:p>
    <w:p>
      <w:pPr>
        <w:spacing w:after="120" w:line="276"/>
      </w:pPr>
      <w:r>
        <w:rPr>
          <w:rFonts w:ascii="Calibri" w:cs="Calibri" w:eastAsia="Calibri" w:hAnsi="Calibri"/>
          <w:color w:val="1A1A17"/>
          <w:sz w:val="21"/>
          <w:szCs w:val="21"/>
        </w:rPr>
        <w:t xml:space="preserve">A per-module ablation (each of scanning, trust routing, policy, and memory integrity toggled on/off) shall quantify which layer stops which attack class and the marginal contribution of the memory integrity layer. This ablation is itself a publishable result at the lightweight / local-model scale.</w:t>
      </w:r>
    </w:p>
    <w:p>
      <w:pPr>
        <w:pStyle w:val="Heading2"/>
        <w:spacing w:after="100" w:before="240"/>
      </w:pPr>
      <w:r>
        <w:rPr>
          <w:rFonts w:ascii="Calibri" w:cs="Calibri" w:eastAsia="Calibri" w:hAnsi="Calibri"/>
          <w:b/>
          <w:bCs/>
          <w:color w:val="0F6E56"/>
          <w:sz w:val="25"/>
          <w:szCs w:val="25"/>
        </w:rPr>
        <w:t xml:space="preserve">14.4 Acceptance</w:t>
      </w:r>
    </w:p>
    <w:p>
      <w:pPr>
        <w:spacing w:after="120" w:line="276"/>
      </w:pPr>
      <w:r>
        <w:rPr>
          <w:rFonts w:ascii="Calibri" w:cs="Calibri" w:eastAsia="Calibri" w:hAnsi="Calibri"/>
          <w:color w:val="1A1A17"/>
          <w:sz w:val="21"/>
          <w:szCs w:val="21"/>
        </w:rPr>
        <w:t xml:space="preserve">v1.0 is accepted when: all Must (M) functional requirements pass their tests; the KPI targets in §14.2 are met on the named benchmarks; the ablation is complete; and the reference implementation plus reproducible harness are released.</w:t>
      </w:r>
    </w:p>
    <w:p>
      <w:pPr>
        <w:pStyle w:val="Heading1"/>
        <w:spacing w:after="140" w:before="320"/>
      </w:pPr>
      <w:r>
        <w:rPr>
          <w:rFonts w:ascii="Calibri" w:cs="Calibri" w:eastAsia="Calibri" w:hAnsi="Calibri"/>
          <w:b/>
          <w:bCs/>
          <w:color w:val="0F5132"/>
          <w:sz w:val="30"/>
          <w:szCs w:val="30"/>
        </w:rPr>
        <w:t xml:space="preserve">15. Risk register</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3000"/>
        <w:gridCol w:w="1900"/>
        <w:gridCol w:w="4460"/>
      </w:tblGrid>
      <w:tr>
        <w:trPr>
          <w:tblHeader/>
        </w:trPr>
        <w:tc>
          <w:tcPr>
            <w:tcW w:type="dxa" w:w="30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Risk</w:t>
            </w:r>
          </w:p>
        </w:tc>
        <w:tc>
          <w:tcPr>
            <w:tcW w:type="dxa" w:w="19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Likelihood / impact</w:t>
            </w:r>
          </w:p>
        </w:tc>
        <w:tc>
          <w:tcPr>
            <w:tcW w:type="dxa" w:w="44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Mitigation</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Adaptive attacks defeat the scanner</w:t>
            </w:r>
          </w:p>
        </w:tc>
        <w:tc>
          <w:tcPr>
            <w:tcW w:type="dxa" w:w="1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High</w:t>
            </w:r>
          </w:p>
        </w:tc>
        <w:tc>
          <w:tcPr>
            <w:tcW w:type="dxa" w:w="44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Defence-in-depth: never rely on detection alone; trust routing + policy contain misses; periodic red-teaming.</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Latency overhead degrades UX</w:t>
            </w:r>
          </w:p>
        </w:tc>
        <w:tc>
          <w:tcPr>
            <w:tcW w:type="dxa" w:w="1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Medium</w:t>
            </w:r>
          </w:p>
        </w:tc>
        <w:tc>
          <w:tcPr>
            <w:tcW w:type="dxa" w:w="44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Rule pre-filter, caching, distilled CPU model, async audit, LLM audit only for high-risk calls.</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False positives block legitimate tasks</w:t>
            </w:r>
          </w:p>
        </w:tc>
        <w:tc>
          <w:tcPr>
            <w:tcW w:type="dxa" w:w="1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Medium</w:t>
            </w:r>
          </w:p>
        </w:tc>
        <w:tc>
          <w:tcPr>
            <w:tcW w:type="dxa" w:w="44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Tunable thresholds, shadow mode before enforce, transform-not-block option, review workflow.</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Embedding-overlap breaks similarity detection</w:t>
            </w:r>
          </w:p>
        </w:tc>
        <w:tc>
          <w:tcPr>
            <w:tcW w:type="dxa" w:w="1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Medium</w:t>
            </w:r>
          </w:p>
        </w:tc>
        <w:tc>
          <w:tcPr>
            <w:tcW w:type="dxa" w:w="44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Enforcement (IFC + policy) is authoritative; detection is advisory, not sole control.</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Mediator becomes a single point of failure</w:t>
            </w:r>
          </w:p>
        </w:tc>
        <w:tc>
          <w:tcPr>
            <w:tcW w:type="dxa" w:w="1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Low / High</w:t>
            </w:r>
          </w:p>
        </w:tc>
        <w:tc>
          <w:tcPr>
            <w:tcW w:type="dxa" w:w="44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HA replicas, health checks, explicit fail-open/closed policy (§9).</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Mediator itself is targeted by injection</w:t>
            </w:r>
          </w:p>
        </w:tc>
        <w:tc>
          <w:tcPr>
            <w:tcW w:type="dxa" w:w="1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High</w:t>
            </w:r>
          </w:p>
        </w:tc>
        <w:tc>
          <w:tcPr>
            <w:tcW w:type="dxa" w:w="44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Harden scanner prompts, isolate its LLM calls, no tool access from scanner path (NFR-SEC-01).</w:t>
            </w:r>
          </w:p>
        </w:tc>
      </w:tr>
      <w:tr>
        <w:tc>
          <w:tcPr>
            <w:tcW w:type="dxa" w:w="30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Scope creep (multi-agent, formal proofs)</w:t>
            </w:r>
          </w:p>
        </w:tc>
        <w:tc>
          <w:tcPr>
            <w:tcW w:type="dxa" w:w="19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Medium</w:t>
            </w:r>
          </w:p>
        </w:tc>
        <w:tc>
          <w:tcPr>
            <w:tcW w:type="dxa" w:w="44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Explicit non-goals (§3.2); phased roadmap (§16).</w:t>
            </w:r>
          </w:p>
        </w:tc>
      </w:tr>
      <w:tr>
        <w:tc>
          <w:tcPr>
            <w:tcW w:type="dxa" w:w="30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Privacy of content sent to external scanner</w:t>
            </w:r>
          </w:p>
        </w:tc>
        <w:tc>
          <w:tcPr>
            <w:tcW w:type="dxa" w:w="19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Medium / High</w:t>
            </w:r>
          </w:p>
        </w:tc>
        <w:tc>
          <w:tcPr>
            <w:tcW w:type="dxa" w:w="44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No-retention mode, on-prem/distilled model option (NFR-PRIV-01).</w:t>
            </w:r>
          </w:p>
        </w:tc>
      </w:tr>
    </w:tbl>
    <w:p>
      <w:pPr>
        <w:pStyle w:val="Heading1"/>
        <w:spacing w:after="140" w:before="320"/>
      </w:pPr>
      <w:r>
        <w:rPr>
          <w:rFonts w:ascii="Calibri" w:cs="Calibri" w:eastAsia="Calibri" w:hAnsi="Calibri"/>
          <w:b/>
          <w:bCs/>
          <w:color w:val="0F5132"/>
          <w:sz w:val="30"/>
          <w:szCs w:val="30"/>
        </w:rPr>
        <w:t xml:space="preserve">16. Delivery roadmap</w:t>
      </w:r>
    </w:p>
    <w:p>
      <w:pPr>
        <w:spacing w:after="120" w:line="276"/>
      </w:pPr>
      <w:r>
        <w:rPr>
          <w:rFonts w:ascii="Calibri" w:cs="Calibri" w:eastAsia="Calibri" w:hAnsi="Calibri"/>
          <w:color w:val="1A1A17"/>
          <w:sz w:val="21"/>
          <w:szCs w:val="21"/>
        </w:rPr>
        <w:t xml:space="preserve">Phased so the research contribution lands early and production hardening follows. Durations assume a small team / student project cadence.</w:t>
      </w:r>
    </w:p>
    <w:tbl>
      <w:tblPr>
        <w:tblW w:type="dxa" w:w="9360"/>
        <w:tblBorders>
          <w:top w:val="single" w:color="C9D6CF" w:sz="2"/>
          <w:left w:val="single" w:color="C9D6CF" w:sz="2"/>
          <w:bottom w:val="single" w:color="C9D6CF" w:sz="2"/>
          <w:right w:val="single" w:color="C9D6CF" w:sz="2"/>
          <w:insideH w:val="single" w:color="C9D6CF" w:sz="2"/>
          <w:insideV w:val="single" w:color="C9D6CF" w:sz="2"/>
        </w:tblBorders>
      </w:tblPr>
      <w:tblGrid>
        <w:gridCol w:w="2200"/>
        <w:gridCol w:w="1400"/>
        <w:gridCol w:w="5760"/>
      </w:tblGrid>
      <w:tr>
        <w:trPr>
          <w:tblHeader/>
        </w:trPr>
        <w:tc>
          <w:tcPr>
            <w:tcW w:type="dxa" w:w="22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Phase</w:t>
            </w:r>
          </w:p>
        </w:tc>
        <w:tc>
          <w:tcPr>
            <w:tcW w:type="dxa" w:w="140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Duration</w:t>
            </w:r>
          </w:p>
        </w:tc>
        <w:tc>
          <w:tcPr>
            <w:tcW w:type="dxa" w:w="5760"/>
            <w:shd w:fill="0F6E56"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Deliverables</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P0 – Foundations</w:t>
            </w:r>
          </w:p>
        </w:tc>
        <w:tc>
          <w:tcPr>
            <w:tcW w:type="dxa" w:w="1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3–4 wks</w:t>
            </w:r>
          </w:p>
        </w:tc>
        <w:tc>
          <w:tcPr>
            <w:tcW w:type="dxa" w:w="57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Literature/threat model finalised; trust model + context envelope; interceptor skeleton + audit log.</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P1 – Detection &amp; routing</w:t>
            </w:r>
          </w:p>
        </w:tc>
        <w:tc>
          <w:tcPr>
            <w:tcW w:type="dxa" w:w="1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3–4 wks</w:t>
            </w:r>
          </w:p>
        </w:tc>
        <w:tc>
          <w:tcPr>
            <w:tcW w:type="dxa" w:w="57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Injection scanner integrated; trust router + taint propagation; shadow-mode enforcement.</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P2 – Policy &amp; memory (core)</w:t>
            </w:r>
          </w:p>
        </w:tc>
        <w:tc>
          <w:tcPr>
            <w:tcW w:type="dxa" w:w="1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4–5 wks</w:t>
            </w:r>
          </w:p>
        </w:tc>
        <w:tc>
          <w:tcPr>
            <w:tcW w:type="dxa" w:w="57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Tool-call policy engine; memory integrity layer (the contribution); output redaction.</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P3 – Evaluation</w:t>
            </w:r>
          </w:p>
        </w:tc>
        <w:tc>
          <w:tcPr>
            <w:tcW w:type="dxa" w:w="1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3–4 wks</w:t>
            </w:r>
          </w:p>
        </w:tc>
        <w:tc>
          <w:tcPr>
            <w:tcW w:type="dxa" w:w="57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AgentDojo + InjecAgent + memory testbed runs; KPI measurement; full ablation study.</w:t>
            </w:r>
          </w:p>
        </w:tc>
      </w:tr>
      <w:tr>
        <w:tc>
          <w:tcPr>
            <w:tcW w:type="dxa" w:w="22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P4 – Hardening &amp; release</w:t>
            </w:r>
          </w:p>
        </w:tc>
        <w:tc>
          <w:tcPr>
            <w:tcW w:type="dxa" w:w="140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3–4 wks</w:t>
            </w:r>
          </w:p>
        </w:tc>
        <w:tc>
          <w:tcPr>
            <w:tcW w:type="dxa" w:w="5760"/>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HA/sidecar+gateway deploy, observability, docs; open-source reference + reproducible harness.</w:t>
            </w:r>
          </w:p>
        </w:tc>
      </w:tr>
      <w:tr>
        <w:tc>
          <w:tcPr>
            <w:tcW w:type="dxa" w:w="22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P5 – Extensions (future)</w:t>
            </w:r>
          </w:p>
        </w:tc>
        <w:tc>
          <w:tcPr>
            <w:tcW w:type="dxa" w:w="140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w:t>
            </w:r>
          </w:p>
        </w:tc>
        <w:tc>
          <w:tcPr>
            <w:tcW w:type="dxa" w:w="5760"/>
            <w:shd w:fill="F4F7F5" w:color="auto" w:val="clear"/>
            <w:tcMar>
              <w:top w:type="dxa" w:w="50"/>
              <w:left w:type="dxa" w:w="90"/>
              <w:bottom w:type="dxa" w:w="50"/>
              <w:right w:type="dxa" w:w="90"/>
            </w:tcMar>
          </w:tcPr>
          <w:p>
            <w:pPr>
              <w:spacing w:after="0" w:line="250"/>
            </w:pPr>
            <w:r>
              <w:rPr>
                <w:rFonts w:ascii="Calibri" w:cs="Calibri" w:eastAsia="Calibri" w:hAnsi="Calibri"/>
                <w:color w:val="1A1A17"/>
                <w:sz w:val="18"/>
                <w:szCs w:val="18"/>
              </w:rPr>
              <w:t xml:space="preserve">Multi-agent authorisation propagation; formal non-interference; managed control plane.</w:t>
            </w:r>
          </w:p>
        </w:tc>
      </w:tr>
    </w:tbl>
    <w:p>
      <w:pPr>
        <w:pStyle w:val="Heading1"/>
        <w:spacing w:after="140" w:before="320"/>
      </w:pPr>
      <w:r>
        <w:rPr>
          <w:rFonts w:ascii="Calibri" w:cs="Calibri" w:eastAsia="Calibri" w:hAnsi="Calibri"/>
          <w:b/>
          <w:bCs/>
          <w:color w:val="0F5132"/>
          <w:sz w:val="30"/>
          <w:szCs w:val="30"/>
        </w:rPr>
        <w:t xml:space="preserve">17. Assumptions and open questions</w:t>
      </w:r>
    </w:p>
    <w:p>
      <w:pPr>
        <w:pStyle w:val="ListParagraph"/>
        <w:numPr>
          <w:ilvl w:val="0"/>
          <w:numId w:val="2"/>
        </w:numPr>
        <w:spacing w:after="60" w:line="272"/>
      </w:pPr>
      <w:r>
        <w:rPr>
          <w:rFonts w:ascii="Calibri" w:cs="Calibri" w:eastAsia="Calibri" w:hAnsi="Calibri"/>
          <w:color w:val="1A1A17"/>
          <w:sz w:val="21"/>
          <w:szCs w:val="21"/>
        </w:rPr>
        <w:t xml:space="preserve">The host organisation already provides user identity/authn; TrustMediator consumes it rather than issuing it.</w:t>
      </w:r>
    </w:p>
    <w:p>
      <w:pPr>
        <w:pStyle w:val="ListParagraph"/>
        <w:numPr>
          <w:ilvl w:val="0"/>
          <w:numId w:val="2"/>
        </w:numPr>
        <w:spacing w:after="60" w:line="272"/>
      </w:pPr>
      <w:r>
        <w:rPr>
          <w:rFonts w:ascii="Calibri" w:cs="Calibri" w:eastAsia="Calibri" w:hAnsi="Calibri"/>
          <w:color w:val="1A1A17"/>
          <w:sz w:val="21"/>
          <w:szCs w:val="21"/>
        </w:rPr>
        <w:t xml:space="preserve">A GPU-backed scanner tier is available in latency-sensitive deployments; otherwise a distilled CPU model is used with a relaxed latency target.</w:t>
      </w:r>
    </w:p>
    <w:p>
      <w:pPr>
        <w:pStyle w:val="ListParagraph"/>
        <w:numPr>
          <w:ilvl w:val="0"/>
          <w:numId w:val="2"/>
        </w:numPr>
        <w:spacing w:after="60" w:line="272"/>
      </w:pPr>
      <w:r>
        <w:rPr>
          <w:rFonts w:ascii="Calibri" w:cs="Calibri" w:eastAsia="Calibri" w:hAnsi="Calibri"/>
          <w:color w:val="1A1A17"/>
          <w:sz w:val="21"/>
          <w:szCs w:val="21"/>
        </w:rPr>
        <w:t xml:space="preserve">Open question: optimal default integrity-score threshold for memory writes — to be set empirically in P3 and exposed as policy.</w:t>
      </w:r>
    </w:p>
    <w:p>
      <w:pPr>
        <w:pStyle w:val="ListParagraph"/>
        <w:numPr>
          <w:ilvl w:val="0"/>
          <w:numId w:val="2"/>
        </w:numPr>
        <w:spacing w:after="60" w:line="272"/>
      </w:pPr>
      <w:r>
        <w:rPr>
          <w:rFonts w:ascii="Calibri" w:cs="Calibri" w:eastAsia="Calibri" w:hAnsi="Calibri"/>
          <w:color w:val="1A1A17"/>
          <w:sz w:val="21"/>
          <w:szCs w:val="21"/>
        </w:rPr>
        <w:t xml:space="preserve">Open question: how much LLM-based alignment auditing to enable by default given the latency/recall trade-off — decided from P3 results.</w:t>
      </w:r>
    </w:p>
    <w:p>
      <w:pPr>
        <w:pStyle w:val="Heading1"/>
        <w:spacing w:after="140" w:before="320"/>
      </w:pPr>
      <w:r>
        <w:rPr>
          <w:rFonts w:ascii="Calibri" w:cs="Calibri" w:eastAsia="Calibri" w:hAnsi="Calibri"/>
          <w:b/>
          <w:bCs/>
          <w:color w:val="0F5132"/>
          <w:sz w:val="30"/>
          <w:szCs w:val="30"/>
        </w:rPr>
        <w:t xml:space="preserve">18. References</w:t>
      </w:r>
    </w:p>
    <w:p>
      <w:pPr>
        <w:spacing w:after="70" w:line="260"/>
        <w:ind w:left="360" w:hanging="360"/>
      </w:pPr>
      <w:r>
        <w:rPr>
          <w:rFonts w:ascii="Calibri" w:cs="Calibri" w:eastAsia="Calibri" w:hAnsi="Calibri"/>
          <w:b/>
          <w:bCs/>
          <w:color w:val="5F5E5A"/>
          <w:sz w:val="19"/>
          <w:szCs w:val="19"/>
        </w:rPr>
        <w:t xml:space="preserve">[1]  </w:t>
      </w:r>
      <w:r>
        <w:rPr>
          <w:rFonts w:ascii="Calibri" w:cs="Calibri" w:eastAsia="Calibri" w:hAnsi="Calibri"/>
          <w:color w:val="1A1A17"/>
          <w:sz w:val="19"/>
          <w:szCs w:val="19"/>
        </w:rPr>
        <w:t xml:space="preserve">OWASP GenAI Security Project. OWASP Top 10 for Agentic Applications 2026. genai.owasp.org (Dec 2025).</w:t>
      </w:r>
    </w:p>
    <w:p>
      <w:pPr>
        <w:spacing w:after="70" w:line="260"/>
        <w:ind w:left="360" w:hanging="360"/>
      </w:pPr>
      <w:r>
        <w:rPr>
          <w:rFonts w:ascii="Calibri" w:cs="Calibri" w:eastAsia="Calibri" w:hAnsi="Calibri"/>
          <w:b/>
          <w:bCs/>
          <w:color w:val="5F5E5A"/>
          <w:sz w:val="19"/>
          <w:szCs w:val="19"/>
        </w:rPr>
        <w:t xml:space="preserve">[2]  </w:t>
      </w:r>
      <w:r>
        <w:rPr>
          <w:rFonts w:ascii="Calibri" w:cs="Calibri" w:eastAsia="Calibri" w:hAnsi="Calibri"/>
          <w:color w:val="1A1A17"/>
          <w:sz w:val="19"/>
          <w:szCs w:val="19"/>
        </w:rPr>
        <w:t xml:space="preserve">Debenedetti, E. et al. Defeating Prompt Injections by Design (CaMeL). arXiv:2503.18813 (2025).</w:t>
      </w:r>
    </w:p>
    <w:p>
      <w:pPr>
        <w:spacing w:after="70" w:line="260"/>
        <w:ind w:left="360" w:hanging="360"/>
      </w:pPr>
      <w:r>
        <w:rPr>
          <w:rFonts w:ascii="Calibri" w:cs="Calibri" w:eastAsia="Calibri" w:hAnsi="Calibri"/>
          <w:b/>
          <w:bCs/>
          <w:color w:val="5F5E5A"/>
          <w:sz w:val="19"/>
          <w:szCs w:val="19"/>
        </w:rPr>
        <w:t xml:space="preserve">[3]  </w:t>
      </w:r>
      <w:r>
        <w:rPr>
          <w:rFonts w:ascii="Calibri" w:cs="Calibri" w:eastAsia="Calibri" w:hAnsi="Calibri"/>
          <w:color w:val="1A1A17"/>
          <w:sz w:val="19"/>
          <w:szCs w:val="19"/>
        </w:rPr>
        <w:t xml:space="preserve">Meta AI. LlamaFirewall: An open source guardrail system for building secure AI agents. arXiv:2505.03574 (2025).</w:t>
      </w:r>
    </w:p>
    <w:p>
      <w:pPr>
        <w:spacing w:after="70" w:line="260"/>
        <w:ind w:left="360" w:hanging="360"/>
      </w:pPr>
      <w:r>
        <w:rPr>
          <w:rFonts w:ascii="Calibri" w:cs="Calibri" w:eastAsia="Calibri" w:hAnsi="Calibri"/>
          <w:b/>
          <w:bCs/>
          <w:color w:val="5F5E5A"/>
          <w:sz w:val="19"/>
          <w:szCs w:val="19"/>
        </w:rPr>
        <w:t xml:space="preserve">[4]  </w:t>
      </w:r>
      <w:r>
        <w:rPr>
          <w:rFonts w:ascii="Calibri" w:cs="Calibri" w:eastAsia="Calibri" w:hAnsi="Calibri"/>
          <w:color w:val="1A1A17"/>
          <w:sz w:val="19"/>
          <w:szCs w:val="19"/>
        </w:rPr>
        <w:t xml:space="preserve">Chan, Z. et al. AgentPoison: Red-teaming LLM Agents via Poisoning Memory or Knowledge Bases. NeurIPS 2024; arXiv:2407.12784.</w:t>
      </w:r>
    </w:p>
    <w:p>
      <w:pPr>
        <w:spacing w:after="70" w:line="260"/>
        <w:ind w:left="360" w:hanging="360"/>
      </w:pPr>
      <w:r>
        <w:rPr>
          <w:rFonts w:ascii="Calibri" w:cs="Calibri" w:eastAsia="Calibri" w:hAnsi="Calibri"/>
          <w:b/>
          <w:bCs/>
          <w:color w:val="5F5E5A"/>
          <w:sz w:val="19"/>
          <w:szCs w:val="19"/>
        </w:rPr>
        <w:t xml:space="preserve">[5]  </w:t>
      </w:r>
      <w:r>
        <w:rPr>
          <w:rFonts w:ascii="Calibri" w:cs="Calibri" w:eastAsia="Calibri" w:hAnsi="Calibri"/>
          <w:color w:val="1A1A17"/>
          <w:sz w:val="19"/>
          <w:szCs w:val="19"/>
        </w:rPr>
        <w:t xml:space="preserve">Debenedetti, E. et al. AgentDojo: A Dynamic Environment to Evaluate Prompt Injection Attacks and Defenses for LLM Agents. NeurIPS 2024; arXiv:2406.13352.</w:t>
      </w:r>
    </w:p>
    <w:p>
      <w:pPr>
        <w:spacing w:after="70" w:line="260"/>
        <w:ind w:left="360" w:hanging="360"/>
      </w:pPr>
      <w:r>
        <w:rPr>
          <w:rFonts w:ascii="Calibri" w:cs="Calibri" w:eastAsia="Calibri" w:hAnsi="Calibri"/>
          <w:b/>
          <w:bCs/>
          <w:color w:val="5F5E5A"/>
          <w:sz w:val="19"/>
          <w:szCs w:val="19"/>
        </w:rPr>
        <w:t xml:space="preserve">[6]  </w:t>
      </w:r>
      <w:r>
        <w:rPr>
          <w:rFonts w:ascii="Calibri" w:cs="Calibri" w:eastAsia="Calibri" w:hAnsi="Calibri"/>
          <w:color w:val="1A1A17"/>
          <w:sz w:val="19"/>
          <w:szCs w:val="19"/>
        </w:rPr>
        <w:t xml:space="preserve">Zhan, Q. et al. InjecAgent: Benchmarking Indirect Prompt Injections in Tool-Integrated LLM Agents. (2024).</w:t>
      </w:r>
    </w:p>
    <w:p>
      <w:pPr>
        <w:spacing w:after="70" w:line="260"/>
        <w:ind w:left="360" w:hanging="360"/>
      </w:pPr>
      <w:r>
        <w:rPr>
          <w:rFonts w:ascii="Calibri" w:cs="Calibri" w:eastAsia="Calibri" w:hAnsi="Calibri"/>
          <w:b/>
          <w:bCs/>
          <w:color w:val="5F5E5A"/>
          <w:sz w:val="19"/>
          <w:szCs w:val="19"/>
        </w:rPr>
        <w:t xml:space="preserve">[7]  </w:t>
      </w:r>
      <w:r>
        <w:rPr>
          <w:rFonts w:ascii="Calibri" w:cs="Calibri" w:eastAsia="Calibri" w:hAnsi="Calibri"/>
          <w:color w:val="1A1A17"/>
          <w:sz w:val="19"/>
          <w:szCs w:val="19"/>
        </w:rPr>
        <w:t xml:space="preserve">Sunil, B. D. et al. Memory Poisoning Attack and Defense on Memory-Based LLM Agents. arXiv:2601.05504 (2026).</w:t>
      </w:r>
    </w:p>
    <w:p>
      <w:pPr>
        <w:spacing w:after="70" w:line="260"/>
        <w:ind w:left="360" w:hanging="360"/>
      </w:pPr>
      <w:r>
        <w:rPr>
          <w:rFonts w:ascii="Calibri" w:cs="Calibri" w:eastAsia="Calibri" w:hAnsi="Calibri"/>
          <w:b/>
          <w:bCs/>
          <w:color w:val="5F5E5A"/>
          <w:sz w:val="19"/>
          <w:szCs w:val="19"/>
        </w:rPr>
        <w:t xml:space="preserve">[8]  </w:t>
      </w:r>
      <w:r>
        <w:rPr>
          <w:rFonts w:ascii="Calibri" w:cs="Calibri" w:eastAsia="Calibri" w:hAnsi="Calibri"/>
          <w:color w:val="1A1A17"/>
          <w:sz w:val="19"/>
          <w:szCs w:val="19"/>
        </w:rPr>
        <w:t xml:space="preserve">Zhang, X. et al. MemMorph: Tool Hijacking in LLM Agents via Memory Poisoning. arXiv:2605.26154 (2026).</w:t>
      </w:r>
    </w:p>
    <w:p>
      <w:pPr>
        <w:spacing w:after="70" w:line="260"/>
        <w:ind w:left="360" w:hanging="360"/>
      </w:pPr>
      <w:r>
        <w:rPr>
          <w:rFonts w:ascii="Calibri" w:cs="Calibri" w:eastAsia="Calibri" w:hAnsi="Calibri"/>
          <w:b/>
          <w:bCs/>
          <w:color w:val="5F5E5A"/>
          <w:sz w:val="19"/>
          <w:szCs w:val="19"/>
        </w:rPr>
        <w:t xml:space="preserve">[9]  </w:t>
      </w:r>
      <w:r>
        <w:rPr>
          <w:rFonts w:ascii="Calibri" w:cs="Calibri" w:eastAsia="Calibri" w:hAnsi="Calibri"/>
          <w:color w:val="1A1A17"/>
          <w:sz w:val="19"/>
          <w:szCs w:val="19"/>
        </w:rPr>
        <w:t xml:space="preserve">OWASP GenAI Security Project. State of Agentic AI Security and Governance v2 (2026).</w:t>
      </w:r>
    </w:p>
    <w:p>
      <w:pPr>
        <w:spacing w:before="200"/>
      </w:pPr>
      <w:r>
        <w:rPr>
          <w:rFonts w:ascii="Calibri" w:cs="Calibri" w:eastAsia="Calibri" w:hAnsi="Calibri"/>
          <w:i/>
          <w:iCs/>
          <w:color w:val="5F5E5A"/>
          <w:sz w:val="18"/>
          <w:szCs w:val="18"/>
        </w:rPr>
        <w:t xml:space="preserve">End of document — TrustMediator PRD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F" w:sz="4" w:space="6"/>
      </w:pBdr>
      <w:jc w:val="center"/>
    </w:pPr>
    <w:r>
      <w:rPr>
        <w:rFonts w:ascii="Calibri" w:cs="Calibri" w:eastAsia="Calibri" w:hAnsi="Calibri"/>
        <w:color w:val="5F5E5A"/>
        <w:sz w:val="16"/>
        <w:szCs w:val="16"/>
      </w:rPr>
      <w:t xml:space="preserve">TrustMediator PRD v1.0   •   </w:t>
    </w:r>
    <w:r>
      <w:rPr>
        <w:rFonts w:ascii="Calibri" w:cs="Calibri" w:eastAsia="Calibri" w:hAnsi="Calibri"/>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7b0d58183efea8f9965b69988f088be56474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2026-07-15T19:53:38.290Z</dcterms:created>
  <dcterms:modified xsi:type="dcterms:W3CDTF">2026-07-15T19:53:38.305Z</dcterms:modified>
</cp:coreProperties>
</file>

<file path=docProps/custom.xml><?xml version="1.0" encoding="utf-8"?>
<Properties xmlns="http://schemas.openxmlformats.org/officeDocument/2006/custom-properties" xmlns:vt="http://schemas.openxmlformats.org/officeDocument/2006/docPropsVTypes"/>
</file>