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CaseZero Executive Summary</w:t>
      </w:r>
    </w:p>
    <w:p>
      <w:r>
        <w:t>AI-assisted incident response and operational decision-making demo</w:t>
      </w:r>
    </w:p>
    <w:p/>
    <w:p>
      <w:r>
        <w:t>CaseZero is a portfolio-ready incident response dashboard that demonstrates how AI can support operational troubleshooting while keeping a human in the loop. The product models a safer AI operating pattern: detect a problem, diagnose the root cause, decide on a bounded action, execute it in a controlled way, and verify the outcome with clear stop conditions and rollback readiness.</w:t>
      </w:r>
    </w:p>
    <w:p>
      <w:r>
        <w:t>The app is designed around realistic incident scenarios such as certificate expiry, API degradation, database saturation, customer issues, access problems, and pipeline failure. Each case includes evidence, confidence signals, risk framing, recommended actions, and approval logic so the workflow feels grounded in operational reality rather than a generic chatbot interface.</w:t>
      </w:r>
    </w:p>
    <w:p>
      <w:r>
        <w:t>The key product story is trust. Instead of fully autonomous automation, CaseZero emphasizes transparency, bounded execution, reviewability, and human approval. This makes it a strong demo for AI-driven operations, incident response, and dependable workflow design in high-risk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