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CaseZero Executive Summary</w:t>
      </w:r>
    </w:p>
    <w:p>
      <w:r>
        <w:t>CaseZero demonstrates a safer AI operating model for incident response. Instead of autonomous action, the platform keeps the human in the loop while surfacing evidence, recommended actions, and verification steps before any change is approved.</w:t>
      </w:r>
    </w:p>
    <w:p>
      <w:r>
        <w:t>The dashboard follows a five-step workflow: Detect, Diagnose, Decide, Act, and Verify. Each case is built to show how issues like certificate expiry, API failures, database saturation, access drift, and pipeline outages can be handled with bounded risk and clear rollback options.</w:t>
      </w:r>
    </w:p>
    <w:p>
      <w:r>
        <w:t>The core principle is trust through transparency. Each recommendation includes evidence, risk framing, and approval gates so that operators can evaluate the action before execution. This keeps AI useful without allowing it to operate blindly in production environments.</w:t>
      </w:r>
    </w:p>
    <w:p>
      <w:r>
        <w:t>CaseZero is designed as a portfolio-quality prototype for operations leadership, product teams, and enterprise stakeholders. It communicates both technical depth and operational discipline, making it a strong demo for real-world AI-assisted incident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