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</w:pPr>
      <w:r>
        <w:rPr>
          <w:rFonts w:ascii="Calibri" w:hAnsi="Calibri"/>
          <w:b/>
          <w:color w:val="1C2C34"/>
          <w:sz w:val="56"/>
        </w:rPr>
        <w:t>Topnotch Energy Solutions</w:t>
      </w:r>
    </w:p>
    <w:p>
      <w:pPr>
        <w:spacing w:before="0" w:after="360"/>
      </w:pPr>
      <w:r>
        <w:rPr>
          <w:rFonts w:ascii="Calibri" w:hAnsi="Calibri"/>
          <w:b/>
          <w:color w:val="D97706"/>
          <w:sz w:val="28"/>
        </w:rPr>
        <w:t>High-Tension (HT) Open Access Power Procurement, Algorithmic 96-Block Bourse Clearing &amp; Industrial Decarbonization Platform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6" w:space="0" w:color="CBD5E1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C34"/>
                <w:sz w:val="19"/>
              </w:rPr>
              <w:t>Document Classification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Capstone Technical Project / Enterprise Software Engineering Report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C34"/>
                <w:sz w:val="19"/>
              </w:rPr>
              <w:t>Target Sector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Indian Power Sector • Energy Trading &amp; Bilateral Bourses • Open Access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C34"/>
                <w:sz w:val="19"/>
              </w:rPr>
              <w:t>Regulatory Alignment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Electricity Act 2003 (§9, §38, §39, §42) • MoP Green Energy OA 2022 • CERC NOAR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C34"/>
                <w:sz w:val="19"/>
              </w:rPr>
              <w:t>Development Stack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Next.js 16 (Turbopack) • React 19 • TypeScript 5 • Tailwind CSS v4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C34"/>
                <w:sz w:val="19"/>
              </w:rPr>
              <w:t>Serverless Infrastructure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Vercel Global Edge Network (Node.js 24 Enterprise Runtime)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C34"/>
                <w:sz w:val="19"/>
              </w:rPr>
              <w:t>Total Routes &amp; Pages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34 Active Routes (17 Marketing • 5 Portal • 7 APIs • 5 SEO/Metadata)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C34"/>
                <w:sz w:val="19"/>
              </w:rPr>
              <w:t>Source Repository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https://github.com/raviprateek2-dotcom/TN-Energy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C34"/>
                <w:sz w:val="19"/>
              </w:rPr>
              <w:t>Live Production URL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https://topnotch-energy.vercel.app</w:t>
            </w:r>
          </w:p>
        </w:tc>
      </w:tr>
    </w:tbl>
    <w:p>
      <w:r>
        <w:br w:type="page"/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High-Tension (HT) Open Access Power Procurement, Algorithmic 96-Block Bourse Clearing &amp; Industrial Decarbonization 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====================================================================================================</w:t>
              <w:br/>
              <w:t xml:space="preserve">                             PROJECT SUBMISSION SPECIFICATION SHEET</w:t>
              <w:br/>
              <w:t>====================================================================================================</w:t>
              <w:br/>
              <w:t>PROJECT TITLE              : Topnotch Energy Solutions Enterprise Web Platform</w:t>
              <w:br/>
              <w:t>PROJECT CLASSIFICATION     : Capstone Technical Project / Enterprise Software Engineering Report</w:t>
              <w:br/>
              <w:t>TARGET SECTOR              : Indian Power Sector • Energy Trading &amp; Bilateral Bourses • Open Access</w:t>
              <w:br/>
              <w:t>REGULATORY CITATIONS       : Electricity Act 2003 (§9, §38, §39, §42) • MoP Green Energy OA 2022</w:t>
              <w:br/>
              <w:t>DEVELOPMENT STACK          : Next.js 16 (Turbopack) • React 19 • TypeScript 5 • Tailwind CSS v4</w:t>
              <w:br/>
              <w:t>SERVERLESS INFRASTRUCTURE  : Vercel Global Edge Network (Node.js 24 Enterprise Runtime)</w:t>
              <w:br/>
              <w:t>TOTAL ROUTES &amp; PAGES       : 34 Active Routes (17 Marketing &amp; Solutions • 5 Portal • 7 APIs • 5 SEO)</w:t>
              <w:br/>
              <w:t>TOTAL CODE VOLUME          : 26,739 Lines of Code (LOC) • 78 Modular Components &amp; Libraries</w:t>
              <w:br/>
              <w:t>QUALITY ASSURANCE          : 81 Automated Unit &amp; Integration Tests (100% Pass Rate)</w:t>
              <w:br/>
              <w:t>LIVE PRODUCTION URL        : https://topnotch-energy.vercel.app</w:t>
              <w:br/>
              <w:t>SOURCE CODE REPOSITORY     : https://github.com/raviprateek2-dotcom/TN-Energy</w:t>
              <w:br/>
              <w:t>DATE OF COMPILATION        : October 2026</w:t>
              <w:br/>
              <w:t>====================================================================================================</w:t>
            </w:r>
          </w:p>
        </w:tc>
      </w:tr>
    </w:tbl>
    <w:p>
      <w:pPr>
        <w:spacing w:after="40"/>
      </w:pPr>
    </w:p>
    <w:p>
      <w:pPr>
        <w:keepNext/>
        <w:spacing w:before="320" w:after="100"/>
      </w:pPr>
      <w:r>
        <w:rPr>
          <w:rFonts w:ascii="Calibri" w:hAnsi="Calibri"/>
          <w:b/>
          <w:color w:val="1C2C34"/>
          <w:sz w:val="28"/>
        </w:rPr>
        <w:t>Preliminary Matter &amp; Formal Front Matter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Certificate of Completion &amp; Project Approval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 xml:space="preserve">This is to certify that the project entitled </w:t>
      </w:r>
      <w:r>
        <w:rPr>
          <w:rFonts w:ascii="Calibri" w:hAnsi="Calibri"/>
          <w:b/>
          <w:color w:val="1C2C34"/>
        </w:rPr>
        <w:t>"Topnotch Energy Solutions: High-Tension (HT) Open Access Power Procurement, Algorithmic 96-Block Bourse Clearing &amp; Industrial Decarbonization Platform"</w:t>
      </w:r>
      <w:r>
        <w:rPr>
          <w:rFonts w:ascii="Calibri" w:hAnsi="Calibri"/>
          <w:color w:val="334155"/>
        </w:rPr>
        <w:t xml:space="preserve"> is a bona fide record of engineering analysis, architectural design, software development, and quality assurance carried out under standardized enterprise software engineering paradigms.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 xml:space="preserve">The platform has been compiled, type-verified without defects, validated through an 81-test automated suite, and successfully deployed to a global production edge environment accessible at </w:t>
      </w:r>
      <w:r>
        <w:rPr>
          <w:rFonts w:ascii="Consolas" w:hAnsi="Consolas"/>
          <w:color w:val="047857"/>
          <w:sz w:val="19"/>
        </w:rPr>
        <w:t>https://topnotch-energy.vercel.app</w:t>
      </w:r>
      <w:r>
        <w:rPr>
          <w:rFonts w:ascii="Calibri" w:hAnsi="Calibri"/>
          <w:color w:val="334155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____________________________                    ____________________________</w:t>
              <w:br/>
              <w:t>Project Evaluator / Guide                       Department Chairperson / Dean</w:t>
              <w:br/>
              <w:t>Date:                                           Date:</w:t>
              <w:br/>
              <w:t>Seal / Signature                                Seal / Signature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Declaration of Authenticity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 xml:space="preserve">I/We hereby declare that this project submission entitled </w:t>
      </w:r>
      <w:r>
        <w:rPr>
          <w:rFonts w:ascii="Calibri" w:hAnsi="Calibri"/>
          <w:b/>
          <w:color w:val="1C2C34"/>
        </w:rPr>
        <w:t>"Topnotch Energy Solutions"</w:t>
      </w:r>
      <w:r>
        <w:rPr>
          <w:rFonts w:ascii="Calibri" w:hAnsi="Calibri"/>
          <w:color w:val="334155"/>
        </w:rPr>
        <w:t xml:space="preserve"> is an original work designed and implemented using Next.js 16, TypeScript, Tailwind CSS, and cloud serverless architectures. The algorithms for 96-block power dispatch co-optimization, landed cost modeling under the Indian Electricity Act 2003, and in-browser heuristic electricity bill parsing are authentic implementations. Any external libraries, open-source utilities, and statutory regulations referenced have been properly acknowledged and cited in the bibliography.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Principal Author / System Architect:</w:t>
      </w:r>
      <w:r>
        <w:rPr>
          <w:rFonts w:ascii="Calibri" w:hAnsi="Calibri"/>
          <w:color w:val="334155"/>
        </w:rPr>
        <w:t xml:space="preserve"> </w:t>
      </w:r>
      <w:r>
        <w:rPr>
          <w:rFonts w:ascii="Consolas" w:hAnsi="Consolas"/>
          <w:color w:val="047857"/>
          <w:sz w:val="19"/>
        </w:rPr>
        <w:t>Topnotch Energy Solutions Engineering Team</w:t>
      </w:r>
      <w:r>
        <w:rPr>
          <w:rFonts w:ascii="Calibri" w:hAnsi="Calibri"/>
          <w:color w:val="334155"/>
        </w:rPr>
      </w:r>
    </w:p>
    <w:p>
      <w:pPr>
        <w:spacing w:after="12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Repository:</w:t>
      </w:r>
      <w:r>
        <w:rPr>
          <w:rFonts w:ascii="Calibri" w:hAnsi="Calibri"/>
          <w:color w:val="334155"/>
        </w:rPr>
        <w:t xml:space="preserve"> </w:t>
      </w:r>
      <w:r>
        <w:rPr>
          <w:rFonts w:ascii="Consolas" w:hAnsi="Consolas"/>
          <w:color w:val="047857"/>
          <w:sz w:val="19"/>
        </w:rPr>
        <w:t>https://github.com/raviprateek2-dotcom/TN-Energy</w:t>
      </w:r>
      <w:r>
        <w:rPr>
          <w:rFonts w:ascii="Calibri" w:hAnsi="Calibri"/>
          <w:color w:val="334155"/>
        </w:rPr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Acknowledgements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This platform reflects continuous synthesis of complex power system engineering, regulatory economics, and contemporary full-stack web engineering. Sincere gratitude is extended to: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 xml:space="preserve">The </w:t>
      </w:r>
      <w:r>
        <w:rPr>
          <w:rFonts w:ascii="Calibri" w:hAnsi="Calibri"/>
          <w:b/>
          <w:color w:val="1C2C34"/>
        </w:rPr>
        <w:t>Central Electricity Regulatory Commission (CERC)</w:t>
      </w:r>
      <w:r>
        <w:rPr>
          <w:rFonts w:ascii="Calibri" w:hAnsi="Calibri"/>
          <w:color w:val="334155"/>
        </w:rPr>
        <w:t xml:space="preserve"> and </w:t>
      </w:r>
      <w:r>
        <w:rPr>
          <w:rFonts w:ascii="Calibri" w:hAnsi="Calibri"/>
          <w:b/>
          <w:color w:val="1C2C34"/>
        </w:rPr>
        <w:t>Power System Operation Corporation (POSOCO / GRID-INDIA)</w:t>
      </w:r>
      <w:r>
        <w:rPr>
          <w:rFonts w:ascii="Calibri" w:hAnsi="Calibri"/>
          <w:color w:val="334155"/>
        </w:rPr>
        <w:t xml:space="preserve"> for open regulatory disclosures and market clearing methodologies.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 xml:space="preserve">The </w:t>
      </w:r>
      <w:r>
        <w:rPr>
          <w:rFonts w:ascii="Calibri" w:hAnsi="Calibri"/>
          <w:b/>
          <w:color w:val="1C2C34"/>
        </w:rPr>
        <w:t>State Electricity Regulatory Commissions (UPERC, MERC, GERC, TNERC, HERC, KERC)</w:t>
      </w:r>
      <w:r>
        <w:rPr>
          <w:rFonts w:ascii="Calibri" w:hAnsi="Calibri"/>
          <w:color w:val="334155"/>
        </w:rPr>
        <w:t xml:space="preserve"> for publishing open-access tariff orders, wheeling schedules, and cross-subsidy benchmark orders.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 xml:space="preserve">The open-source communities behind </w:t>
      </w:r>
      <w:r>
        <w:rPr>
          <w:rFonts w:ascii="Calibri" w:hAnsi="Calibri"/>
          <w:b/>
          <w:color w:val="1C2C34"/>
        </w:rPr>
        <w:t>Next.js</w:t>
      </w:r>
      <w:r>
        <w:rPr>
          <w:rFonts w:ascii="Calibri" w:hAnsi="Calibri"/>
          <w:color w:val="334155"/>
        </w:rPr>
        <w:t xml:space="preserve">, </w:t>
      </w:r>
      <w:r>
        <w:rPr>
          <w:rFonts w:ascii="Calibri" w:hAnsi="Calibri"/>
          <w:b/>
          <w:color w:val="1C2C34"/>
        </w:rPr>
        <w:t>React</w:t>
      </w:r>
      <w:r>
        <w:rPr>
          <w:rFonts w:ascii="Calibri" w:hAnsi="Calibri"/>
          <w:color w:val="334155"/>
        </w:rPr>
        <w:t xml:space="preserve">, </w:t>
      </w:r>
      <w:r>
        <w:rPr>
          <w:rFonts w:ascii="Calibri" w:hAnsi="Calibri"/>
          <w:b/>
          <w:color w:val="1C2C34"/>
        </w:rPr>
        <w:t>TypeScript</w:t>
      </w:r>
      <w:r>
        <w:rPr>
          <w:rFonts w:ascii="Calibri" w:hAnsi="Calibri"/>
          <w:color w:val="334155"/>
        </w:rPr>
        <w:t xml:space="preserve">, </w:t>
      </w:r>
      <w:r>
        <w:rPr>
          <w:rFonts w:ascii="Calibri" w:hAnsi="Calibri"/>
          <w:b/>
          <w:color w:val="1C2C34"/>
        </w:rPr>
        <w:t>Tailwind CSS</w:t>
      </w:r>
      <w:r>
        <w:rPr>
          <w:rFonts w:ascii="Calibri" w:hAnsi="Calibri"/>
          <w:color w:val="334155"/>
        </w:rPr>
        <w:t xml:space="preserve">, and </w:t>
      </w:r>
      <w:r>
        <w:rPr>
          <w:rFonts w:ascii="Calibri" w:hAnsi="Calibri"/>
          <w:b/>
          <w:color w:val="1C2C34"/>
        </w:rPr>
        <w:t>Node.js</w:t>
      </w:r>
      <w:r>
        <w:rPr>
          <w:rFonts w:ascii="Calibri" w:hAnsi="Calibri"/>
          <w:color w:val="334155"/>
        </w:rPr>
        <w:t xml:space="preserve"> for maintaining high-performance developer tooling.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Table of Contents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[Preliminary Matter &amp; Formal Front Matter](#preliminary-matter--formal-front-matter)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[Certificate of Completion &amp; Project Approval](#certificate-of-completion--project-approval)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[Declaration of Authenticity](#declaration-of-authenticity)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[Acknowledgements](#acknowledgements)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[Table of Contents](#table-of-contents)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[List of Figures &amp; Architectural Diagrams](#list-of-figures--architectural-diagrams)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[List of Tables](#list-of-tables)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[Glossary of Abbreviations &amp; Acronyms](#glossary-of-abbreviations--acronyms)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[1. Executive Summary &amp; Project Abstract](#1-executive-summary--project-abstract)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[2. Problem Statement &amp; Industrial Domain Context](#2-problem-statement--industrial-domain-context)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[2.1 The High-Tension (HT) Industrial Tariff Crisis](#21-the-high-tension-ht-industrial-tariff-crisis)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[2.2 The Open Access Mechanism &amp; Regulatory Bottlenecks](#22-the-open-access-mechanism--regulatory-bottlenecks)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[3. Project Specification, Scope &amp; Feasibility Study](#3-project-specification-scope--feasibility-study)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[3.1 Primary &amp; Secondary Objectives](#31-primary--secondary-objectives)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[3.2 Feasibility Study](#32-feasibility-study)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[3.3 Hardware, Software &amp; Runtime Requirements](#33-hardware-software--runtime-requirements)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[3.4 User Personas &amp; Stakeholder Matrix](#34-user-personas--stakeholder-matrix)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[4. Complete System Architecture &amp; Engineering Blueprints](#4-complete-system-architecture--engineering-blueprints)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[4.1 Four-Tier Architecture Topology](#41-four-tier-architecture-topology)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[4.2 Technology Stack Matrix](#42-technology-stack-matrix)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[4.3 Component Hierarchy &amp; Layout Tree](#43-component-hierarchy--layout-tree)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[4.4 End-to-End Data Flow &amp; Sequence Diagram](#44-end-to-end-data-flow--sequence-diagram)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[4.5 Security Architecture &amp; Defense-in-Depth](#45-security-architecture--defense-in-depth)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[5. Exhaustive Page &amp; Route Inventory (Total 34 Pages)](#5-exhaustive-page--route-inventory-total-34-pages)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[5.1 Summary Statistics](#51-summary-statistics)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[5.2 Public Marketing &amp; Institutional Pages (9 Routes)](#52-public-marketing--institutional-pages-9-routes)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[5.3 Specialized Solutions Pages (5 Routes)](#53-specialized-solutions-pages-5-routes)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[5.4 Interactive Regulatory &amp; Calculation Tools (2 Routes)](#54-interactive-regulatory--calculation-tools-2-routes)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[5.5 Real-Time Market Intelligence Terminal (1 Route)](#55-real-time-market-intelligence-terminal-1-route)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[5.6 Industrial Case Studies &amp; Scope-2 Hub (1 Route)](#56-industrial-case-studies--scope-2-hub-1-route)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[5.7 Enterprise Client Portal (5 Routes)](#57-enterprise-client-portal-5-routes)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[5.8 Edge Serverless Backend API Route Handlers (7 Routes)](#58-edge-serverless-backend-api-route-handlers-7-routes)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[5.9 Dynamic System, SEO &amp; Metadata Routes (4 Routes)](#59-dynamic-system-seo--metadata-routes-4-routes)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[6. Core Functional Modules &amp; Domain Capabilities](#6-core-functional-modules--domain-capabilities)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[6.1 Module 1: 96-Block Real-Time IEX Electricity Bourse](#61-module-1-96-block-real-time-iex-electricity-bourse)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[6.2 Module 2: Multi-State Regulatory Matrix &amp; Tariff Simulator](#62-module-2-multi-state-regulatory-matrix--tariff-simulator)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[6.3 Module 3: In-Browser Heuristic HT Bill OCR Auditor](#63-module-3-in-browser-heuristic-ht-bill-ocr-auditor)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[6.4 Module 4: Enterprise Client Portal &amp; Telemetry Console](#64-module-4-enterprise-client-portal--telemetry-console)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[6.5 Module 5: Scope-2 Decarbonization Hub &amp; Industrial Audits](#65-module-5-scope-2-decarbonization-hub--industrial-audits)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[7. Mathematical Formulations &amp; Optimization Algorithms](#7-mathematical-formulations--optimization-algorithms)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[7.1 Landed Cost of Open Access Power Formulation](#71-landed-cost-of-open-access-power-formulation)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[7.2 Section 42 Group Captive Proportionality Law](#72-section-42-group-captive-proportionality-law)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[7.3 96-Block Algorithmic Dispatch Linear Program](#73-96-block-algorithmic-dispatch-linear-program)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[7.4 Apparent Energy &amp; Power Factor Penalty Formulation](#74-apparent-energy--power-factor-penalty-formulation)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[8. Code Walkthrough &amp; Implementation Details](#8-code-walkthrough--implementation-details)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[8.1 Heuristic In-Browser Bill OCR Parser Logic](#81-heuristic-in-browser-bill-ocr-parser-logic)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[8.2 Serverless Landed Cost Computation API](#82-serverless-landed-cost-computation-api)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[8.3 Floating Frosted-Glass Island Header Architecture](#83-floating-frosted-glass-island-header-architecture)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[9. Quality Assurance, Testing Suite &amp; Verification (81 Tests)](#9-quality-assurance-testing-suite--verification-81-tests)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[9.1 Test Suite Breakdown](#91-test-suite-breakdown)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[9.2 Static Analysis &amp; Compilation Results](#92-static-analysis--compilation-results)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[10. Cloud Deployment, DevOps &amp; Production Hardening](#10-cloud-deployment-devops--production-hardening)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[10.1 Edge Serverless Cloud Topology](#101-edge-serverless-cloud-topology)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[10.2 Enterprise Security Headers](#102-enterprise-security-headers)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[10.3 Production Verification Telemetry](#103-production-verification-telemetry)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[11. Economic, Environmental &amp; ESG Decarbonization Impact](#11-economic-environmental--esg-decarbonization-impact)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[11.1 Representative 5,000 kVA Industrial Financial Model](#111-representative-5000-kva-industrial-financial-model)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[11.2 Scope-2 Environmental Greenhouse Gas Abatement](#112-scope-2-environmental-greenhouse-gas-abatement)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[12. Future Roadmap &amp; System Evolution](#12-future-roadmap--system-evolution)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[13. Conclusion &amp; Project Sign-Off](#13-conclusion--project-sign-off)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[14. References &amp; Regulatory Authorities Cited](#14-references--regulatory-authorities-cited)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List of Figures &amp; Architectural Diagrams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Figure 1:</w:t>
      </w:r>
      <w:r>
        <w:rPr>
          <w:rFonts w:ascii="Calibri" w:hAnsi="Calibri"/>
          <w:color w:val="334155"/>
        </w:rPr>
        <w:t xml:space="preserve"> Industrial Energy Procurement Landscape &amp; Arbitrage Corridor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Figure 2:</w:t>
      </w:r>
      <w:r>
        <w:rPr>
          <w:rFonts w:ascii="Calibri" w:hAnsi="Calibri"/>
          <w:color w:val="334155"/>
        </w:rPr>
        <w:t xml:space="preserve"> Four-Tier Platform Architecture Topology (Mermaid)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Figure 3:</w:t>
      </w:r>
      <w:r>
        <w:rPr>
          <w:rFonts w:ascii="Calibri" w:hAnsi="Calibri"/>
          <w:color w:val="334155"/>
        </w:rPr>
        <w:t xml:space="preserve"> Next.js 16 Application Component Hierarchy &amp; Layout Composition (Mermaid)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Figure 4:</w:t>
      </w:r>
      <w:r>
        <w:rPr>
          <w:rFonts w:ascii="Calibri" w:hAnsi="Calibri"/>
          <w:color w:val="334155"/>
        </w:rPr>
        <w:t xml:space="preserve"> End-to-End User Transaction &amp; Calculation Sequence Diagram (Mermaid)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Figure 5:</w:t>
      </w:r>
      <w:r>
        <w:rPr>
          <w:rFonts w:ascii="Calibri" w:hAnsi="Calibri"/>
          <w:color w:val="334155"/>
        </w:rPr>
        <w:t xml:space="preserve"> 96-Block Dispatch &amp; Deviation Settlement Pipeline (Mermaid)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Figure 6:</w:t>
      </w:r>
      <w:r>
        <w:rPr>
          <w:rFonts w:ascii="Calibri" w:hAnsi="Calibri"/>
          <w:color w:val="334155"/>
        </w:rPr>
        <w:t xml:space="preserve"> Multi-Layer Defense-in-Depth Security Model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Figure 7:</w:t>
      </w:r>
      <w:r>
        <w:rPr>
          <w:rFonts w:ascii="Calibri" w:hAnsi="Calibri"/>
          <w:color w:val="334155"/>
        </w:rPr>
        <w:t xml:space="preserve"> CI/CD Production Deployment Sequence to Vercel Global Edge (Mermaid)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List of Tables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Table 1:</w:t>
      </w:r>
      <w:r>
        <w:rPr>
          <w:rFonts w:ascii="Calibri" w:hAnsi="Calibri"/>
          <w:color w:val="334155"/>
        </w:rPr>
        <w:t xml:space="preserve"> System Technology Stack Matrix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Table 2:</w:t>
      </w:r>
      <w:r>
        <w:rPr>
          <w:rFonts w:ascii="Calibri" w:hAnsi="Calibri"/>
          <w:color w:val="334155"/>
        </w:rPr>
        <w:t xml:space="preserve"> Stakeholder User Persona Matrix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Table 3:</w:t>
      </w:r>
      <w:r>
        <w:rPr>
          <w:rFonts w:ascii="Calibri" w:hAnsi="Calibri"/>
          <w:color w:val="334155"/>
        </w:rPr>
        <w:t xml:space="preserve"> Comprehensive Inventory of All 34 Pages and Routes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Table 4:</w:t>
      </w:r>
      <w:r>
        <w:rPr>
          <w:rFonts w:ascii="Calibri" w:hAnsi="Calibri"/>
          <w:color w:val="334155"/>
        </w:rPr>
        <w:t xml:space="preserve"> Five Core Functional Modules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Table 5:</w:t>
      </w:r>
      <w:r>
        <w:rPr>
          <w:rFonts w:ascii="Calibri" w:hAnsi="Calibri"/>
          <w:color w:val="334155"/>
        </w:rPr>
        <w:t xml:space="preserve"> Multi-State SERC Regulatory Parameters (9 States)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Table 6:</w:t>
      </w:r>
      <w:r>
        <w:rPr>
          <w:rFonts w:ascii="Calibri" w:hAnsi="Calibri"/>
          <w:color w:val="334155"/>
        </w:rPr>
        <w:t xml:space="preserve"> Automated Test Suite Matrix (81 Tests, 100% Pass Rate)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Table 7:</w:t>
      </w:r>
      <w:r>
        <w:rPr>
          <w:rFonts w:ascii="Calibri" w:hAnsi="Calibri"/>
          <w:color w:val="334155"/>
        </w:rPr>
        <w:t xml:space="preserve"> Production Enterprise HTTP Security Headers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Table 8:</w:t>
      </w:r>
      <w:r>
        <w:rPr>
          <w:rFonts w:ascii="Calibri" w:hAnsi="Calibri"/>
          <w:color w:val="334155"/>
        </w:rPr>
        <w:t xml:space="preserve"> Industrial Case Study Financial &amp; ESG Metrics (Century, DCM Shriram, Varun, Welspun)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Glossary of Abbreviations &amp; Acronyms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ABT     : Availability Based Tariff</w:t>
              <w:br/>
              <w:t>AMR     : Automated Meter Reading</w:t>
              <w:br/>
              <w:t>AS      : Additional Surcharge (levied by DISCOM)</w:t>
              <w:br/>
              <w:t>BEE     : Bureau of Energy Efficiency</w:t>
              <w:br/>
              <w:t>BESS    : Battery Energy Storage System</w:t>
              <w:br/>
              <w:t>BRSR    : Business Responsibility and Sustainability Reporting (SEBI)</w:t>
              <w:br/>
              <w:t>CEA     : Central Electricity Authority</w:t>
              <w:br/>
              <w:t>CERC    : Central Electricity Regulatory Commission</w:t>
              <w:br/>
              <w:t>CGP     : Captive Generating Plant (under Section 9 of Electricity Act 2003)</w:t>
              <w:br/>
              <w:t>C&amp;I     : Commercial and Industrial</w:t>
              <w:br/>
              <w:t>CSS     : Cross-Subsidy Surcharge</w:t>
              <w:br/>
              <w:t>CTU     : Central Transmission Utility (POWERGRID)</w:t>
              <w:br/>
              <w:t>DAM     : Day-Ahead Market (IEX)</w:t>
              <w:br/>
              <w:t>DISCOM  : Distribution Company (State utility, e.g., PVVNL, MSEDCL)</w:t>
              <w:br/>
              <w:t>DSM     : Deviation Settlement Mechanism</w:t>
              <w:br/>
              <w:t>ESCert  : Energy Saving Certificate (PAT Scheme)</w:t>
              <w:br/>
              <w:t>GDAM    : Green Day-Ahead Market (IEX)</w:t>
              <w:br/>
              <w:t>GERC    : Gujarat Electricity Regulatory Commission</w:t>
              <w:br/>
              <w:t>HT      : High Tension (≥ 11 kV supply voltage)</w:t>
              <w:br/>
              <w:t>IEX     : Indian Energy Exchange</w:t>
              <w:br/>
              <w:t>ISR     : Incremental Static Regeneration</w:t>
              <w:br/>
              <w:t>kVA     : Kilovolt-Ampere (Apparent Power)</w:t>
              <w:br/>
              <w:t>kVAh    : Kilovolt-Ampere-Hour (Apparent Energy)</w:t>
              <w:br/>
              <w:t>kWh     : Kilowatt-Hour (Active Energy / 1 Unit of electricity)</w:t>
              <w:br/>
              <w:t>MCP     : Market Clearing Price</w:t>
              <w:br/>
              <w:t>MCV     : Market Clearing Volume</w:t>
              <w:br/>
              <w:t>MERC    : Maharashtra Electricity Regulatory Commission</w:t>
              <w:br/>
              <w:t>NLDC    : National Load Despatch Centre (Grid-India)</w:t>
              <w:br/>
              <w:t>NOAR    : National Open Access Registry</w:t>
              <w:br/>
              <w:t>NOC     : No Objection Certificate (issued by SLDC)</w:t>
              <w:br/>
              <w:t>PAT     : Perform, Achieve and Trade (BEE energy efficiency scheme)</w:t>
              <w:br/>
              <w:t>PF      : Power Factor (Ratio of kWh to kVAh)</w:t>
              <w:br/>
              <w:t>POSOCO  : Power System Operation Corporation (now Grid-India)</w:t>
              <w:br/>
              <w:t>PPA     : Power Purchase Agreement</w:t>
              <w:br/>
              <w:t>PPR     : Partial Prerendering (Next.js 16)</w:t>
              <w:br/>
              <w:t>REA     : Regional Energy Account</w:t>
              <w:br/>
              <w:t>REC     : Renewable Energy Certificate</w:t>
              <w:br/>
              <w:t>RSC     : React Server Component</w:t>
              <w:br/>
              <w:t>RTM     : Real-Time Market (IEX 1-hour ahead trading)</w:t>
              <w:br/>
              <w:t>SEBI    : Securities and Exchange Board of India</w:t>
              <w:br/>
              <w:t>SEM     : Special Energy Meter (0.2s class high-precision tariff meter)</w:t>
              <w:br/>
              <w:t>SERC    : State Electricity Regulatory Commission</w:t>
              <w:br/>
              <w:t>SLDC    : State Load Despatch Centre</w:t>
              <w:br/>
              <w:t>STU     : State Transmission Utility</w:t>
              <w:br/>
              <w:t>ToD     : Time of Day (Differential tariff based on hours)</w:t>
              <w:br/>
              <w:t>UPERC   : Uttar Pradesh Electricity Regulatory Commission</w:t>
              <w:br/>
              <w:t>WCAG    : Web Content Accessibility Guidelines</w:t>
            </w:r>
          </w:p>
        </w:tc>
      </w:tr>
    </w:tbl>
    <w:p>
      <w:pPr>
        <w:spacing w:after="40"/>
      </w:pPr>
    </w:p>
    <w:p>
      <w:pPr>
        <w:keepNext/>
        <w:spacing w:before="320" w:after="100"/>
      </w:pPr>
      <w:r>
        <w:rPr>
          <w:rFonts w:ascii="Calibri" w:hAnsi="Calibri"/>
          <w:b/>
          <w:color w:val="1C2C34"/>
          <w:sz w:val="28"/>
        </w:rPr>
        <w:t>1. Executive Summary &amp; Project Abstract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 xml:space="preserve">The </w:t>
      </w:r>
      <w:r>
        <w:rPr>
          <w:rFonts w:ascii="Calibri" w:hAnsi="Calibri"/>
          <w:b/>
          <w:color w:val="1C2C34"/>
        </w:rPr>
        <w:t>Topnotch Energy Solutions (TES)</w:t>
      </w:r>
      <w:r>
        <w:rPr>
          <w:rFonts w:ascii="Calibri" w:hAnsi="Calibri"/>
          <w:color w:val="334155"/>
        </w:rPr>
        <w:t xml:space="preserve"> enterprise platform is a production-deployed digital system engineered to dismantle the extreme financial opacity, regulatory complexity, and algorithmic scheduling friction governing high-tension (HT) power procurement in the Indian commercial and industrial (C&amp;I) sectors.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 xml:space="preserve">In India, commercial and industrial enterprises connected at high voltage (11 kV to 220 kV) account for more than 50% of the national electricity demand. However, these consumers are burdened by retail grid tariffs ranging from </w:t>
      </w:r>
      <w:r>
        <w:rPr>
          <w:rFonts w:ascii="Calibri" w:hAnsi="Calibri"/>
          <w:b/>
          <w:color w:val="1C2C34"/>
        </w:rPr>
        <w:t>₹7.80 to ₹12.50 per kWh</w:t>
      </w:r>
      <w:r>
        <w:rPr>
          <w:rFonts w:ascii="Calibri" w:hAnsi="Calibri"/>
          <w:color w:val="334155"/>
        </w:rPr>
        <w:t xml:space="preserve">, inflated by heavy </w:t>
      </w:r>
      <w:r>
        <w:rPr>
          <w:rFonts w:ascii="Calibri" w:hAnsi="Calibri"/>
          <w:b/>
          <w:color w:val="1C2C34"/>
        </w:rPr>
        <w:t>Cross-Subsidy Surcharges (CSS)</w:t>
      </w:r>
      <w:r>
        <w:rPr>
          <w:rFonts w:ascii="Calibri" w:hAnsi="Calibri"/>
          <w:color w:val="334155"/>
        </w:rPr>
        <w:t xml:space="preserve"> and </w:t>
      </w:r>
      <w:r>
        <w:rPr>
          <w:rFonts w:ascii="Calibri" w:hAnsi="Calibri"/>
          <w:b/>
          <w:color w:val="1C2C34"/>
        </w:rPr>
        <w:t>Additional Surcharges (AS)</w:t>
      </w:r>
      <w:r>
        <w:rPr>
          <w:rFonts w:ascii="Calibri" w:hAnsi="Calibri"/>
          <w:color w:val="334155"/>
        </w:rPr>
        <w:t xml:space="preserve"> designed by state utilities (DISCOMs) to subsidize agricultural and domestic consumption.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 xml:space="preserve">While the </w:t>
      </w:r>
      <w:r>
        <w:rPr>
          <w:rFonts w:ascii="Calibri" w:hAnsi="Calibri"/>
          <w:b/>
          <w:color w:val="1C2C34"/>
        </w:rPr>
        <w:t>Electricity Act 2003</w:t>
      </w:r>
      <w:r>
        <w:rPr>
          <w:rFonts w:ascii="Calibri" w:hAnsi="Calibri"/>
          <w:color w:val="334155"/>
        </w:rPr>
        <w:t xml:space="preserve"> (Sections 9 and 42) and the </w:t>
      </w:r>
      <w:r>
        <w:rPr>
          <w:rFonts w:ascii="Calibri" w:hAnsi="Calibri"/>
          <w:b/>
          <w:color w:val="1C2C34"/>
        </w:rPr>
        <w:t>Green Energy Open Access Rules 2022</w:t>
      </w:r>
      <w:r>
        <w:rPr>
          <w:rFonts w:ascii="Calibri" w:hAnsi="Calibri"/>
          <w:color w:val="334155"/>
        </w:rPr>
        <w:t xml:space="preserve"> grant eligible consumers (≥100 kW load) the statutory right to procure green power directly from independent power producers (IPPs) or the </w:t>
      </w:r>
      <w:r>
        <w:rPr>
          <w:rFonts w:ascii="Calibri" w:hAnsi="Calibri"/>
          <w:b/>
          <w:color w:val="1C2C34"/>
        </w:rPr>
        <w:t>Indian Energy Exchange (IEX)</w:t>
      </w:r>
      <w:r>
        <w:rPr>
          <w:rFonts w:ascii="Calibri" w:hAnsi="Calibri"/>
          <w:color w:val="334155"/>
        </w:rPr>
        <w:t>, adoption has been impeded by: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  <w:t>Fragmented multi-state regulations across 28 State Electricity Regulatory Commissions (SERCs).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  <w:t>The operational complexity of 96-block (15-minute interval) scheduling and Deviation Settlement Mechanism (DSM) liabilities.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  <w:t>The lack of digital forensic auditing tools to expose utility billing errors and model captive equity consortiums.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Topnotch Energy Solutions</w:t>
      </w:r>
      <w:r>
        <w:rPr>
          <w:rFonts w:ascii="Calibri" w:hAnsi="Calibri"/>
          <w:color w:val="334155"/>
        </w:rPr>
        <w:t xml:space="preserve"> resolves these challenges through an integrated suite of five core computational engines: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 xml:space="preserve">A live </w:t>
      </w:r>
      <w:r>
        <w:rPr>
          <w:rFonts w:ascii="Calibri" w:hAnsi="Calibri"/>
          <w:b/>
          <w:color w:val="1C2C34"/>
        </w:rPr>
        <w:t>96-Block Electricity Bourse &amp; IEX Simulator</w:t>
      </w:r>
      <w:r>
        <w:rPr>
          <w:rFonts w:ascii="Calibri" w:hAnsi="Calibri"/>
          <w:color w:val="334155"/>
        </w:rPr>
        <w:t xml:space="preserve"> covering DAM, GDAM, and RTM market segments with 15-minute clearing price analytics.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 xml:space="preserve">A </w:t>
      </w:r>
      <w:r>
        <w:rPr>
          <w:rFonts w:ascii="Calibri" w:hAnsi="Calibri"/>
          <w:b/>
          <w:color w:val="1C2C34"/>
        </w:rPr>
        <w:t>Multi-State Tariff &amp; Captive Open Access Financial Modeling Engine</w:t>
      </w:r>
      <w:r>
        <w:rPr>
          <w:rFonts w:ascii="Calibri" w:hAnsi="Calibri"/>
          <w:color w:val="334155"/>
        </w:rPr>
        <w:t xml:space="preserve"> covering 9 major industrial states and 4 voltage levels, factoring in physical wheeling losses and Section 42 Group Captive exemptions.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 xml:space="preserve">An </w:t>
      </w:r>
      <w:r>
        <w:rPr>
          <w:rFonts w:ascii="Calibri" w:hAnsi="Calibri"/>
          <w:b/>
          <w:color w:val="1C2C34"/>
        </w:rPr>
        <w:t>In-Browser Heuristic HT Bill OCR Engine</w:t>
      </w:r>
      <w:r>
        <w:rPr>
          <w:rFonts w:ascii="Calibri" w:hAnsi="Calibri"/>
          <w:color w:val="334155"/>
        </w:rPr>
        <w:t xml:space="preserve"> that securely parses utility invoices client-side to detect billing anomalies and evaluate open-access migration feasibility.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 xml:space="preserve">An </w:t>
      </w:r>
      <w:r>
        <w:rPr>
          <w:rFonts w:ascii="Calibri" w:hAnsi="Calibri"/>
          <w:b/>
          <w:color w:val="1C2C34"/>
        </w:rPr>
        <w:t>Enterprise Client Portal &amp; Operations Console</w:t>
      </w:r>
      <w:r>
        <w:rPr>
          <w:rFonts w:ascii="Calibri" w:hAnsi="Calibri"/>
          <w:color w:val="334155"/>
        </w:rPr>
        <w:t xml:space="preserve"> tracking National Open Access Registry (NOAR) approvals, SLDC NOC clearances, and 0.2s ABT smart meter telemetry.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 xml:space="preserve">An </w:t>
      </w:r>
      <w:r>
        <w:rPr>
          <w:rFonts w:ascii="Calibri" w:hAnsi="Calibri"/>
          <w:b/>
          <w:color w:val="1C2C34"/>
        </w:rPr>
        <w:t>Industrial Decarbonization Hub</w:t>
      </w:r>
      <w:r>
        <w:rPr>
          <w:rFonts w:ascii="Calibri" w:hAnsi="Calibri"/>
          <w:color w:val="334155"/>
        </w:rPr>
        <w:t xml:space="preserve"> providing Scope-2 greenhouse gas abatement analytics and printable statutory audit certificates.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 xml:space="preserve">Engineered with </w:t>
      </w:r>
      <w:r>
        <w:rPr>
          <w:rFonts w:ascii="Calibri" w:hAnsi="Calibri"/>
          <w:b/>
          <w:color w:val="1C2C34"/>
        </w:rPr>
        <w:t>Next.js 16 (Turbopack)</w:t>
      </w:r>
      <w:r>
        <w:rPr>
          <w:rFonts w:ascii="Calibri" w:hAnsi="Calibri"/>
          <w:color w:val="334155"/>
        </w:rPr>
        <w:t xml:space="preserve">, </w:t>
      </w:r>
      <w:r>
        <w:rPr>
          <w:rFonts w:ascii="Calibri" w:hAnsi="Calibri"/>
          <w:b/>
          <w:color w:val="1C2C34"/>
        </w:rPr>
        <w:t>React 19</w:t>
      </w:r>
      <w:r>
        <w:rPr>
          <w:rFonts w:ascii="Calibri" w:hAnsi="Calibri"/>
          <w:color w:val="334155"/>
        </w:rPr>
        <w:t xml:space="preserve">, </w:t>
      </w:r>
      <w:r>
        <w:rPr>
          <w:rFonts w:ascii="Calibri" w:hAnsi="Calibri"/>
          <w:b/>
          <w:color w:val="1C2C34"/>
        </w:rPr>
        <w:t>TypeScript 5</w:t>
      </w:r>
      <w:r>
        <w:rPr>
          <w:rFonts w:ascii="Calibri" w:hAnsi="Calibri"/>
          <w:color w:val="334155"/>
        </w:rPr>
        <w:t xml:space="preserve">, and </w:t>
      </w:r>
      <w:r>
        <w:rPr>
          <w:rFonts w:ascii="Calibri" w:hAnsi="Calibri"/>
          <w:b/>
          <w:color w:val="1C2C34"/>
        </w:rPr>
        <w:t>Tailwind CSS v4</w:t>
      </w:r>
      <w:r>
        <w:rPr>
          <w:rFonts w:ascii="Calibri" w:hAnsi="Calibri"/>
          <w:color w:val="334155"/>
        </w:rPr>
        <w:t xml:space="preserve">, the application is deployed on the </w:t>
      </w:r>
      <w:r>
        <w:rPr>
          <w:rFonts w:ascii="Calibri" w:hAnsi="Calibri"/>
          <w:b/>
          <w:color w:val="1C2C34"/>
        </w:rPr>
        <w:t>Vercel Global Edge Network</w:t>
      </w:r>
      <w:r>
        <w:rPr>
          <w:rFonts w:ascii="Calibri" w:hAnsi="Calibri"/>
          <w:color w:val="334155"/>
        </w:rPr>
        <w:t>, serving 34 active routes with sub-50ms latency, zero server hosting costs, and verified by an 81-test automated suite (100% pass rate).</w:t>
      </w:r>
    </w:p>
    <w:p>
      <w:r>
        <w:br w:type="page"/>
      </w:r>
    </w:p>
    <w:p>
      <w:pPr>
        <w:keepNext/>
        <w:spacing w:before="320" w:after="100"/>
      </w:pPr>
      <w:r>
        <w:rPr>
          <w:rFonts w:ascii="Calibri" w:hAnsi="Calibri"/>
          <w:b/>
          <w:color w:val="1C2C34"/>
          <w:sz w:val="28"/>
        </w:rPr>
        <w:t>2. Problem Statement &amp; Industrial Domain Context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2.1 The High-Tension (HT) Industrial Tariff Crisis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+----------------------------------------------------------------------------------------------------+</w:t>
              <w:br/>
              <w:t>|                                    DISCOM RETAIL TARIFF VS OPEN ACCESS                             |</w:t>
              <w:br/>
              <w:t>+----------------------------------------------------------------------------------------------------+</w:t>
              <w:br/>
              <w:t>|                                                                                                    |</w:t>
              <w:br/>
              <w:t>|  State DISCOM Utility Tariff: ₹8.50 - ₹12.50 / kWh                                                 |</w:t>
              <w:br/>
              <w:t>|  [========================================================================]                        |</w:t>
              <w:br/>
              <w:t>|   Base Energy: ₹6.80 | CSS: ₹2.20 | Addl Surch: ₹0.80 | Duty &amp; Cess: ₹0.70                         |</w:t>
              <w:br/>
              <w:t>|                                                                                                    |</w:t>
              <w:br/>
              <w:t>|  Topnotch Group Captive Open Access: ₹4.80 - ₹6.20 / kWh                                          |</w:t>
              <w:br/>
              <w:t>|  [=========================================] (35% - 42% ARBITRAGE SAVINGS)                         |</w:t>
              <w:br/>
              <w:t>|   Solar/Wind Base: ₹3.60 | Wheeling: ₹0.85 | Losses: ₹0.40 | Taxes: ₹0.35 | CSS: ₹0 | AS: ₹0       |</w:t>
              <w:br/>
              <w:t>|                                                                                                    |</w:t>
              <w:br/>
              <w:t>+----------------------------------------------------------------------------------------------------+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/>
          <w:color w:val="334155"/>
        </w:rPr>
        <w:t>Electricity is typically the single largest non-raw-material operational expenditure in power-intensive manufacturing industries: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Steel &amp; Induction Furnaces:</w:t>
      </w:r>
      <w:r>
        <w:rPr>
          <w:rFonts w:ascii="Calibri" w:hAnsi="Calibri"/>
          <w:color w:val="334155"/>
        </w:rPr>
        <w:t xml:space="preserve"> Electricity represents 28% to 40% of production cost.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Textile Spinning Mills:</w:t>
      </w:r>
      <w:r>
        <w:rPr>
          <w:rFonts w:ascii="Calibri" w:hAnsi="Calibri"/>
          <w:color w:val="334155"/>
        </w:rPr>
        <w:t xml:space="preserve"> 18% to 25% of cost.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Chemical &amp; Chlor-Alkali Plants:</w:t>
      </w:r>
      <w:r>
        <w:rPr>
          <w:rFonts w:ascii="Calibri" w:hAnsi="Calibri"/>
          <w:color w:val="334155"/>
        </w:rPr>
        <w:t xml:space="preserve"> 35% to 45% of cost.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Cold Storage &amp; Food Processing:</w:t>
      </w:r>
      <w:r>
        <w:rPr>
          <w:rFonts w:ascii="Calibri" w:hAnsi="Calibri"/>
          <w:color w:val="334155"/>
        </w:rPr>
        <w:t xml:space="preserve"> 22% to 32% of cost.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State utilities impose severe tariff structures featuring: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Time-of-Day (ToD) Surcharges:</w:t>
      </w:r>
      <w:r>
        <w:rPr>
          <w:rFonts w:ascii="Calibri" w:hAnsi="Calibri"/>
          <w:color w:val="334155"/>
        </w:rPr>
        <w:t xml:space="preserve"> Peak hour rates (typically 18:00 to 22:00 IST) attract a 20% to 25% premium over normal tariffs.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kVAh Billing &amp; Power Factor Penalties:</w:t>
      </w:r>
      <w:r>
        <w:rPr>
          <w:rFonts w:ascii="Calibri" w:hAnsi="Calibri"/>
          <w:color w:val="334155"/>
        </w:rPr>
        <w:t xml:space="preserve"> Low power factor (&lt;0.95 lag) leads to punitive billing on apparent power (kVAh) rather than real active power (kWh).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Contract Demand Overdraw Charges:</w:t>
      </w:r>
      <w:r>
        <w:rPr>
          <w:rFonts w:ascii="Calibri" w:hAnsi="Calibri"/>
          <w:color w:val="334155"/>
        </w:rPr>
        <w:t xml:space="preserve"> Drawing beyond sanctioned capacity incurs penal demand charges of 150% to 200%.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2.2 The Open Access Mechanism &amp; Regulatory Bottlenecks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+---------------------------------------------------------------------------------------------------------+</w:t>
              <w:br/>
              <w:t>|                                    OPEN ACCESS TRANSACTION COMPARISON                                   |</w:t>
              <w:br/>
              <w:t>+----------------------------------+----------------------------------+-----------------------------------+</w:t>
              <w:br/>
              <w:t>| Parameter                        | Third-Party Bilateral PPA        | Group Captive Consortium (§42)    |</w:t>
              <w:br/>
              <w:t>+----------------------------------+----------------------------------+-----------------------------------+</w:t>
              <w:br/>
              <w:t>| Equity Ownership Mandate         | None                             | Minimum 26% proprietary equity    |</w:t>
              <w:br/>
              <w:t>| Consumption Mandate              | Commercial agreement             | Minimum 51% of annual generation  |</w:t>
              <w:br/>
              <w:t>| Cross Subsidy Surcharge (CSS)    | 100% Applicable (₹1.50 - ₹2.80)  | 100% EXEMPT (₹0.00 / kWh)         |</w:t>
              <w:br/>
              <w:t>| Additional Surcharge (AS)        | 100% Applicable (₹0.50 - ₹1.20)  | 100% EXEMPT (₹0.00 / kWh)         |</w:t>
              <w:br/>
              <w:t>| Net Landed Tariff Arbitrage      | 8% to 15% savings                | 25% to 42% savings                |</w:t>
              <w:br/>
              <w:t>+----------------------------------+----------------------------------+-----------------------------------+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/>
          <w:color w:val="334155"/>
        </w:rPr>
        <w:t>Despite the statutory benefits of Group Captive procurement, industrial adoption has been constrained by three structural bottlenecks: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Regulatory Asymmetry:</w:t>
      </w:r>
      <w:r>
        <w:rPr>
          <w:rFonts w:ascii="Calibri" w:hAnsi="Calibri"/>
          <w:color w:val="334155"/>
        </w:rPr>
        <w:t xml:space="preserve"> State regulators continuously alter banking periods (annual vs. monthly vs. 15-minute), banking withdrawal fees, and wheeling loss matrices.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Scheduling Complexity:</w:t>
      </w:r>
      <w:r>
        <w:rPr>
          <w:rFonts w:ascii="Calibri" w:hAnsi="Calibri"/>
          <w:color w:val="334155"/>
        </w:rPr>
        <w:t xml:space="preserve"> Failure to forecast and schedule generation in 96 discrete 15-minute intervals incurs harsh Deviation Settlement Mechanism (DSM) charges under CERC regulations.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Lack of Institutional Software:</w:t>
      </w:r>
      <w:r>
        <w:rPr>
          <w:rFonts w:ascii="Calibri" w:hAnsi="Calibri"/>
          <w:color w:val="334155"/>
        </w:rPr>
        <w:t xml:space="preserve"> Small-to-medium industrial enterprises lack the sophisticated energy trading consoles used by multinational power desks.</w:t>
      </w:r>
    </w:p>
    <w:p>
      <w:r>
        <w:br w:type="page"/>
      </w:r>
    </w:p>
    <w:p>
      <w:pPr>
        <w:keepNext/>
        <w:spacing w:before="320" w:after="100"/>
      </w:pPr>
      <w:r>
        <w:rPr>
          <w:rFonts w:ascii="Calibri" w:hAnsi="Calibri"/>
          <w:b/>
          <w:color w:val="1C2C34"/>
          <w:sz w:val="28"/>
        </w:rPr>
        <w:t>3. Project Specification, Scope &amp; Feasibility Study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3.1 Primary &amp; Secondary Objectives</w:t>
      </w:r>
    </w:p>
    <w:p>
      <w:pPr>
        <w:keepNext/>
        <w:spacing w:before="160" w:after="60"/>
      </w:pPr>
      <w:r>
        <w:rPr>
          <w:rFonts w:ascii="Calibri" w:hAnsi="Calibri"/>
          <w:b/>
          <w:color w:val="047857"/>
          <w:sz w:val="22"/>
        </w:rPr>
        <w:t>Primary Engineering Objectives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Automated Open Access Economics:</w:t>
      </w:r>
      <w:r>
        <w:rPr>
          <w:rFonts w:ascii="Calibri" w:hAnsi="Calibri"/>
          <w:color w:val="334155"/>
        </w:rPr>
        <w:t xml:space="preserve"> Model landed power tariffs across 9 major manufacturing states with voltage-dependent wheeling losses (11 kV, 33 kV, 66 kV, 132 kV).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96-Block Dispatch Simulation:</w:t>
      </w:r>
      <w:r>
        <w:rPr>
          <w:rFonts w:ascii="Calibri" w:hAnsi="Calibri"/>
          <w:color w:val="334155"/>
        </w:rPr>
        <w:t xml:space="preserve"> Synthesize authentic Indian exchange dynamics across 96 time-blocks (Night Valley, Morning Ramp, Solar Trough, Evening Peak, Late Night).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Client-Side Forensic Bill Parsing:</w:t>
      </w:r>
      <w:r>
        <w:rPr>
          <w:rFonts w:ascii="Calibri" w:hAnsi="Calibri"/>
          <w:color w:val="334155"/>
        </w:rPr>
        <w:t xml:space="preserve"> Implement zero-server regex/heuristic OCR to extract contract demand, power factor, kVAh billing, and overdraw penalties.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Enterprise Portal:</w:t>
      </w:r>
      <w:r>
        <w:rPr>
          <w:rFonts w:ascii="Calibri" w:hAnsi="Calibri"/>
          <w:color w:val="334155"/>
        </w:rPr>
        <w:t xml:space="preserve"> Develop an institutional management console tracking NOAR clearance, SLDC NOC stages, and 0.2s ABT smart meter telemetry.</w:t>
      </w:r>
    </w:p>
    <w:p>
      <w:pPr>
        <w:keepNext/>
        <w:spacing w:before="160" w:after="60"/>
      </w:pPr>
      <w:r>
        <w:rPr>
          <w:rFonts w:ascii="Calibri" w:hAnsi="Calibri"/>
          <w:b/>
          <w:color w:val="047857"/>
          <w:sz w:val="22"/>
        </w:rPr>
        <w:t>Secondary Objectives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Zero-Cost Edge Infrastructure:</w:t>
      </w:r>
      <w:r>
        <w:rPr>
          <w:rFonts w:ascii="Calibri" w:hAnsi="Calibri"/>
          <w:color w:val="334155"/>
        </w:rPr>
        <w:t xml:space="preserve"> Build and deploy on modern serverless edge architecture without recurring database or server hosting fees.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Strict Accessibility &amp; Brand Governance:</w:t>
      </w:r>
      <w:r>
        <w:rPr>
          <w:rFonts w:ascii="Calibri" w:hAnsi="Calibri"/>
          <w:color w:val="334155"/>
        </w:rPr>
        <w:t xml:space="preserve"> Achieve WCAG 2.1 AA/AAA contrast ratios and adhere to official CERC Category-IV trading representation.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Comprehensive Quality Assurance:</w:t>
      </w:r>
      <w:r>
        <w:rPr>
          <w:rFonts w:ascii="Calibri" w:hAnsi="Calibri"/>
          <w:color w:val="334155"/>
        </w:rPr>
        <w:t xml:space="preserve"> Maintain a 100% test pass rate across unit, integration, and mathematical precision test suites.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3.2 Feasibility Study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+---------------------------------------------------------------------------------------------------------+</w:t>
              <w:br/>
              <w:t>|                                        PROJECT FEASIBILITY MATRIX                                       |</w:t>
              <w:br/>
              <w:t>+--------------------+------------------------------------------------------------------------------------+</w:t>
              <w:br/>
              <w:t>| Dimension          | Findings &amp; Validation                                                              |</w:t>
              <w:br/>
              <w:t>+--------------------+------------------------------------------------------------------------------------+</w:t>
              <w:br/>
              <w:t>| Technical          | Next.js 16 with Turbopack provides sub-second compilation and static route          |</w:t>
              <w:br/>
              <w:t>| Feasibility        | generation. In-browser heuristic regex handles complex utility bill structures with |</w:t>
              <w:br/>
              <w:t>|                    | zero cloud OCR latency or privacy exposure.                                        |</w:t>
              <w:br/>
              <w:t>+--------------------+------------------------------------------------------------------------------------+</w:t>
              <w:br/>
              <w:t>| Economic           | Deployed on Vercel Global Edge free hobby tier with $0 recurring cloud cost.       |</w:t>
              <w:br/>
              <w:t>| Feasibility        | Delivers measurable multi-crore rupee savings for industrial users.                |</w:t>
              <w:br/>
              <w:t>+--------------------+------------------------------------------------------------------------------------+</w:t>
              <w:br/>
              <w:t>| Operational        | Intuitive floating-island UI and client portal streamline complex NOAR and SLDC   |</w:t>
              <w:br/>
              <w:t>| Feasibility        | workflows into visual progress bars and downloadable audit reports.                |</w:t>
              <w:br/>
              <w:t>+--------------------+------------------------------------------------------------------------------------+</w:t>
              <w:br/>
              <w:t>| Legal &amp;            | Fully grounded in the Electricity Act 2003, MoP Green Open Access Rules 2022,     |</w:t>
              <w:br/>
              <w:t>| Regulatory         | and CERC Power Market Regulations 2021.                                            |</w:t>
              <w:br/>
              <w:t>+--------------------+------------------------------------------------------------------------------------+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3.3 Hardware, Software &amp; Runtime Requirements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Development Hardware:</w:t>
      </w:r>
      <w:r>
        <w:rPr>
          <w:rFonts w:ascii="Calibri" w:hAnsi="Calibri"/>
          <w:color w:val="334155"/>
        </w:rPr>
        <w:t xml:space="preserve"> Any modern workstation (x86_64 or ARM64) with ≥8 GB RAM and 2 CPU cores.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Runtime Environment:</w:t>
      </w:r>
      <w:r>
        <w:rPr>
          <w:rFonts w:ascii="Calibri" w:hAnsi="Calibri"/>
          <w:color w:val="334155"/>
        </w:rPr>
        <w:t xml:space="preserve"> Node.js version 20.x or 24.x LTS.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Browser Compatibility:</w:t>
      </w:r>
      <w:r>
        <w:rPr>
          <w:rFonts w:ascii="Calibri" w:hAnsi="Calibri"/>
          <w:color w:val="334155"/>
        </w:rPr>
        <w:t xml:space="preserve"> Chrome/Edge ≥90, Firefox ≥88, Safari ≥14, iOS Safari, Android Chrome (WCAG 2.1 compliant).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Production Server:</w:t>
      </w:r>
      <w:r>
        <w:rPr>
          <w:rFonts w:ascii="Calibri" w:hAnsi="Calibri"/>
          <w:color w:val="334155"/>
        </w:rPr>
        <w:t xml:space="preserve"> Vercel Global Edge Serverless Network (Linux x86_64 Node.js 24 runtime).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3.4 User Personas &amp; Stakeholder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+---------------------------------------------------------------------------------------------------------+</w:t>
              <w:br/>
              <w:t>|                                         STAKEHOLDER USER PERSONAS                                       |</w:t>
              <w:br/>
              <w:t>+---------------------+-----------------------------+-----------------------------------------------------+</w:t>
              <w:br/>
              <w:t>| User Role           | Key Responsibilities        | Platform Feature Utilized                           |</w:t>
              <w:br/>
              <w:t>+---------------------+-----------------------------+-----------------------------------------------------+</w:t>
              <w:br/>
              <w:t>| Industrial Owner /  | OPEX reduction, capital     | • Open Access Tariff Simulator                      |</w:t>
              <w:br/>
              <w:t>| Chief Financial Off.| allocation, ESG reporting   | • Scope-2 Decarbonization Hub &amp; Savings Dashboard   |</w:t>
              <w:br/>
              <w:t>+---------------------+-----------------------------+-----------------------------------------------------+</w:t>
              <w:br/>
              <w:t>| Plant Electrical /  | Power factor maintenance,   | • In-Browser Bill OCR Auditor                       |</w:t>
              <w:br/>
              <w:t>| Maintenance Eng.    | peak load management        | • 0.2s ABT Smart Meter Telemetry Console            |</w:t>
              <w:br/>
              <w:t>+---------------------+-----------------------------+-----------------------------------------------------+</w:t>
              <w:br/>
              <w:t>| Corporate Energy /  | Bidding on IEX/PXIL,        | • Live 96-Block IEX Terminal (DAM/GDAM/RTM)        |</w:t>
              <w:br/>
              <w:t>| Procurement Trader  | bilateral contract pricing  | • NOAR Clearance Monitor &amp; Deviation Alerts         |</w:t>
              <w:br/>
              <w:t>+---------------------+-----------------------------+-----------------------------------------------------+</w:t>
              <w:br/>
              <w:t>| Regulatory Auditor  | Ensuring compliance with    | • Statutory Compliance Database                     |</w:t>
              <w:br/>
              <w:t>| &amp; SLDC Officer      | Group Captive shareholding  | • Downloadable REA Settlement &amp; Dossier PDFs        |</w:t>
              <w:br/>
              <w:t>+---------------------+-----------------------------+-----------------------------------------------------+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00"/>
      </w:pPr>
      <w:r>
        <w:rPr>
          <w:rFonts w:ascii="Calibri" w:hAnsi="Calibri"/>
          <w:b/>
          <w:color w:val="1C2C34"/>
          <w:sz w:val="28"/>
        </w:rPr>
        <w:t>4. Complete System Architecture &amp; Engineering Blueprints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4.1 Four-Tier Architecture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flowchart TD</w:t>
              <w:br/>
              <w:t xml:space="preserve">    subgraph Tier1["Tier 1: Presentation &amp; Client Interaction (Browser)"]</w:t>
              <w:br/>
              <w:t xml:space="preserve">        UI_Capsule["Floating Frosted-Glass Island Header\n(Adaptive Scroll Blur &amp; Micro-Interactions)"]</w:t>
              <w:br/>
              <w:t xml:space="preserve">        UI_Views["Responsive Marketing &amp; Portal Views\n(Mobile 375px to Ultra-Wide 1440px+)"]</w:t>
              <w:br/>
              <w:t xml:space="preserve">        UI_Charts["Interactive Recharts Data Visualizations\n(96-Block Histograms • Diurnal Solar Stacks)"]</w:t>
              <w:br/>
              <w:t xml:space="preserve">        UI_OCR["In-Browser Heuristic Bill Parser\n(Client-Side Text Analysis • Zero-Leakage)"]</w:t>
              <w:br/>
              <w:t xml:space="preserve">    end</w:t>
              <w:br/>
              <w:br/>
              <w:t xml:space="preserve">    subgraph Tier2["Tier 2: Global Edge Routing &amp; Security (Vercel CDN)"]</w:t>
              <w:br/>
              <w:t xml:space="preserve">        Edge_Proxy["Vercel Anycast Edge Network"]</w:t>
              <w:br/>
              <w:t xml:space="preserve">        Sec_Middleware["Security &amp; Hardening Headers\n(HSTS • CSP • Anti-Sniff • Frame-Deny)"]</w:t>
              <w:br/>
              <w:t xml:space="preserve">        Edge_Cache["Edge Cache Engine\n(Static ISR Pages &amp; Optimized Media Delivery)"]</w:t>
              <w:br/>
              <w:t xml:space="preserve">    end</w:t>
              <w:br/>
              <w:br/>
              <w:t xml:space="preserve">    subgraph Tier3["Tier 3: Application Server &amp; Routing (Next.js 16 Turbopack)"]</w:t>
              <w:br/>
              <w:t xml:space="preserve">        subgraph RSC["React Server Components (RSC)"]</w:t>
              <w:br/>
              <w:t xml:space="preserve">            Page_Mkt["Static Marketing Pages (17 Pages)"]</w:t>
              <w:br/>
              <w:t xml:space="preserve">            Page_Port["Enterprise Client Portal (5 Pages)"]</w:t>
              <w:br/>
              <w:t xml:space="preserve">            Page_Dyn["Dynamic Solution Hubs (/solutions/[slug])"]</w:t>
              <w:br/>
              <w:t xml:space="preserve">        end</w:t>
              <w:br/>
              <w:t xml:space="preserve">        subgraph ServerlessAPI["Serverless Route Handlers (/api/*)"]</w:t>
              <w:br/>
              <w:t xml:space="preserve">            API_H["/api/health • Telemetry"]</w:t>
              <w:br/>
              <w:t xml:space="preserve">            API_M["/api/market-rates • 96-Block IEX Seed"]</w:t>
              <w:br/>
              <w:t xml:space="preserve">            API_C["/api/calculator • Landed Cost Engine"]</w:t>
              <w:br/>
              <w:t xml:space="preserve">            API_L["/api/leads • Ingestion &amp; Audit"]</w:t>
              <w:br/>
              <w:t xml:space="preserve">            API_D["/api/reports/dossier • PDF Stream"]</w:t>
              <w:br/>
              <w:t xml:space="preserve">            API_R["/api/reports/rea • CSV/JSON Schedules"]</w:t>
              <w:br/>
              <w:t xml:space="preserve">        end</w:t>
              <w:br/>
              <w:t xml:space="preserve">    end</w:t>
              <w:br/>
              <w:br/>
              <w:t xml:space="preserve">    subgraph Tier4["Tier 4: Domain Logic &amp; Computation Engine"]</w:t>
              <w:br/>
              <w:t xml:space="preserve">        Engine_CoOpt["96-Block Algorithmic Power Dispatch Co-Optimizer"]</w:t>
              <w:br/>
              <w:t xml:space="preserve">        Engine_SERC["Multi-State SERC Regulatory Matrix (9 States • 4 Voltage Classes)"]</w:t>
              <w:br/>
              <w:t xml:space="preserve">        Engine_Captive["Section 42 Group Captive Compliance &amp; Proportionality Engine"]</w:t>
              <w:br/>
              <w:t xml:space="preserve">        Store_Memory["In-Memory Enterprise Lead Store &amp; State Audit Logger"]</w:t>
              <w:br/>
              <w:t xml:space="preserve">    end</w:t>
              <w:br/>
              <w:br/>
              <w:t xml:space="preserve">    Tier1 --&gt; Edge_Proxy</w:t>
              <w:br/>
              <w:t xml:space="preserve">    Edge_Proxy --&gt; Sec_Middleware</w:t>
              <w:br/>
              <w:t xml:space="preserve">    Sec_Middleware --&gt; Edge_Cache</w:t>
              <w:br/>
              <w:t xml:space="preserve">    Sec_Middleware --&gt; RSC</w:t>
              <w:br/>
              <w:t xml:space="preserve">    Sec_Middleware --&gt; ServerlessAPI</w:t>
              <w:br/>
              <w:t xml:space="preserve">    RSC --&gt; Tier4</w:t>
              <w:br/>
              <w:t xml:space="preserve">    ServerlessAPI --&gt; Tier4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4.2 Technology Stack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+---------------------------------------------------------------------------------------------------------+</w:t>
              <w:br/>
              <w:t>|                                      FULL-STACK TECHNOLOGY MATRIX                                       |</w:t>
              <w:br/>
              <w:t>+--------------------------+-----------------------+-------------+----------------------------------------+</w:t>
              <w:br/>
              <w:t>| Technology Layer         | Framework / Library   | Version     | Architectural Purpose                  |</w:t>
              <w:br/>
              <w:t>+--------------------------+-----------------------+-------------+----------------------------------------+</w:t>
              <w:br/>
              <w:t>| Web Framework            | Next.js (App Router)  | 16.5-canary | Turbopack compilation, SSR, PPR, ISR   |</w:t>
              <w:br/>
              <w:t>| Component Runtime        | React (Concurrent)    | 19.3.1      | Modern concurrent rendering &amp; RSC      |</w:t>
              <w:br/>
              <w:t>| Type System              | TypeScript            | 5.x         | Strict static typing, zero `any`       |</w:t>
              <w:br/>
              <w:t>| CSS Utility Engine       | Tailwind CSS          | 4.x         | Native CSS variable cascade, zero CSS  |</w:t>
              <w:br/>
              <w:t>| Animation Engine         | Framer Motion         | 14.4.0      | Smooth 60fps micro-interactions        |</w:t>
              <w:br/>
              <w:t>| Charting Framework       | Recharts              | 3.10.1      | Declarative SVG market visualizations  |</w:t>
              <w:br/>
              <w:t>| Iconography              | Lucide React          | 1.59.0      | Scalable SVG vector iconography        |</w:t>
              <w:br/>
              <w:t>| Schema Validation        | Zod                   | 4.6.7       | Runtime input payload verification     |</w:t>
              <w:br/>
              <w:t>| Form Management          | React Hook Form       | 7.90.0      | High-performance uncontrolled forms    |</w:t>
              <w:br/>
              <w:t>| Test Runner              | Node Native Test      | Node 24     | Zero-dependency sub-second test suite  |</w:t>
              <w:br/>
              <w:t>| Cloud Edge Hosting       | Vercel Global Edge    | Production  | Serverless, auto-deploying CDN         |</w:t>
              <w:br/>
              <w:t>+--------------------------+-----------------------+-------------+----------------------------------------+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4.3 Component Hierarchy &amp; Layout Tree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graph TD</w:t>
              <w:br/>
              <w:t xml:space="preserve">    RootLayout["RootLayout (src/app/layout.tsx)\n[Fonts: Inter &amp; JetBrains Mono • Global Metadata • Analytics]"]</w:t>
              <w:br/>
              <w:t xml:space="preserve">    </w:t>
              <w:br/>
              <w:t xml:space="preserve">    RootLayout --&gt; HeaderCapsule["Header Capsule (src/components/layout/Header.tsx)\n[Floating Island • Frosted Glass • Audio FX Switch • Navigation Menus]"]</w:t>
              <w:br/>
              <w:t xml:space="preserve">    RootLayout --&gt; MainContent["Page Viewport Slot (&lt;main className='min-h-screen'&gt;)"]</w:t>
              <w:br/>
              <w:t xml:space="preserve">    RootLayout --&gt; FooterSection["Footer (src/components/layout/Footer.tsx)\n[Clean Energy Scrim • Statutory Badges • 24x7 NOC Hotline]"]</w:t>
              <w:br/>
              <w:t xml:space="preserve">    </w:t>
              <w:br/>
              <w:t xml:space="preserve">    MainContent --&gt; MarketingGroup["(marketing) Route Group"]</w:t>
              <w:br/>
              <w:t xml:space="preserve">    MainContent --&gt; PortalGroup["(portal) Route Group"]</w:t>
              <w:br/>
              <w:t xml:space="preserve">    </w:t>
              <w:br/>
              <w:t xml:space="preserve">    MarketingGroup --&gt; HomeView["Home (/)\n[Hero Background Carousel • Core Pillars • Market Ticker]"]</w:t>
              <w:br/>
              <w:t xml:space="preserve">    MarketingGroup --&gt; CalcView["Calculator (/tools/open-access-calculator)\n[Bill Parser • State Matrix • Savings Breakdown • Recharts]"]</w:t>
              <w:br/>
              <w:t xml:space="preserve">    MarketingGroup --&gt; MarketView["Market Intel (/market-intelligence)\n[96-Block Interactive Terminal • Diurnal Curve • DAM/GDAM]"]</w:t>
              <w:br/>
              <w:t xml:space="preserve">    MarketingGroup --&gt; CasesView["Case Studies (/case-studies)\n[4 Industrial Archetypes • Scope-2 Audit Certificates]"]</w:t>
              <w:br/>
              <w:t xml:space="preserve">    MarketingGroup --&gt; SolutionsView["Dynamic Solutions (/solutions/[slug])\n[Power Trading • Captive OA • Solar EPC • ABT • Energy Audits]"]</w:t>
              <w:br/>
              <w:t xml:space="preserve">    </w:t>
              <w:br/>
              <w:t xml:space="preserve">    PortalGroup --&gt; PortalLayout["PortalLayout (src/app/(portal)/layout.tsx)\n[Sidebar Navigation • NOC Status • User Profile]"]</w:t>
              <w:br/>
              <w:t xml:space="preserve">    PortalLayout --&gt; BiddingView["Bidding Console (/portal/bidding-console)\n[IEX Order Placement • Block Selection • Margin Check]"]</w:t>
              <w:br/>
              <w:t xml:space="preserve">    PortalLayout --&gt; TelemetryView["Telemetry (/portal/telemetry)\n[ABT 0.2s Class Active Metering • Frequency Monitor]"]</w:t>
              <w:br/>
              <w:t xml:space="preserve">    PortalLayout --&gt; DashboardView["Dashboard (/portal/dashboard)\n[NOAR Clearance • Landed Savings • Energy Slates]"]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4.4 End-to-End Data Flow &amp; Sequence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sequenceDiagram</w:t>
              <w:br/>
              <w:t xml:space="preserve">    autonumber</w:t>
              <w:br/>
              <w:t xml:space="preserve">    actor User as Industrial Plant Manager</w:t>
              <w:br/>
              <w:t xml:space="preserve">    participant Browser as Client Browser (React 19)</w:t>
              <w:br/>
              <w:t xml:space="preserve">    participant Edge as Vercel Edge Server</w:t>
              <w:br/>
              <w:t xml:space="preserve">    participant CalcAPI as POST /api/calculator</w:t>
              <w:br/>
              <w:t xml:space="preserve">    participant DispatchEngine as 96-Block Dispatch Co-Optimizer</w:t>
              <w:br/>
              <w:t xml:space="preserve">    participant LeadAPI as POST /api/leads</w:t>
              <w:br/>
              <w:t xml:space="preserve">    participant MemoryStore as Lead Store &amp; Audit Log</w:t>
              <w:br/>
              <w:br/>
              <w:t xml:space="preserve">    User-&gt;&gt;Browser: Paste Paschimanchal (PVVNL) HT Bill Text</w:t>
              <w:br/>
              <w:t xml:space="preserve">    Note over Browser: In-Browser Heuristic OCR extracts:&lt;br/&gt;Sanctioned: 2,500 kVA&lt;br/&gt;Units: 1,200,000 kWh&lt;br/&gt;Voltage: 33 kV&lt;br/&gt;Power Factor: 0.88 lag</w:t>
              <w:br/>
              <w:t xml:space="preserve">    Browser-&gt;&gt;User: Auto-populates parameters &amp; reveals ₹0.85/unit PF penalty</w:t>
              <w:br/>
              <w:t xml:space="preserve">    </w:t>
              <w:br/>
              <w:t xml:space="preserve">    User-&gt;&gt;Browser: Select "Group Captive Open Access (§42)" + 800 kW Rooftop Solar</w:t>
              <w:br/>
              <w:t xml:space="preserve">    Browser-&gt;&gt;Edge: POST /api/calculator (Payload JSON)</w:t>
              <w:br/>
              <w:t xml:space="preserve">    Edge-&gt;&gt;CalcAPI: Execute Route Handler (Node 24)</w:t>
              <w:br/>
              <w:t xml:space="preserve">    CalcAPI-&gt;&gt;DispatchEngine: Compute Landed Cost &amp; 96-Block Least-Cost Dispatch</w:t>
              <w:br/>
              <w:t xml:space="preserve">    DispatchEngine--&gt;&gt;CalcAPI: Net Savings: ₹39.96 Lakh/mo (38.06% reduction)</w:t>
              <w:br/>
              <w:t xml:space="preserve">    CalcAPI--&gt;&gt;Browser: JSON Response (HTTP 200 OK)</w:t>
              <w:br/>
              <w:t xml:space="preserve">    Browser-&gt;&gt;User: Renders Interactive Recharts Stacks &amp; Financial ROI Cards</w:t>
              <w:br/>
              <w:br/>
              <w:t xml:space="preserve">    User-&gt;&gt;Browser: Click "Lock Open Access Capacity" (Enter Contact)</w:t>
              <w:br/>
              <w:t xml:space="preserve">    Browser-&gt;&gt;Edge: POST /api/leads (Zod Validated Lead Payload)</w:t>
              <w:br/>
              <w:t xml:space="preserve">    Edge-&gt;&gt;LeadAPI: Ingest Lead &amp; Compute SLA Priority Score (Score: 92/100)</w:t>
              <w:br/>
              <w:t xml:space="preserve">    LeadAPI-&gt;&gt;MemoryStore: Persist Lead with Reference ID &amp; Audit Log</w:t>
              <w:br/>
              <w:t xml:space="preserve">    LeadAPI--&gt;&gt;Browser: HTTP 201 Created (Tracking ID: TES-MVJLFSMS)</w:t>
              <w:br/>
              <w:t xml:space="preserve">    Browser-&gt;&gt;User: Displays Instant Confirmation &amp; 2-Hour SLA NOC Desk Guarantee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4.5 Security Architecture &amp; Defense-in-Depth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+----------------------------------------------------------------------------------------------------+</w:t>
              <w:br/>
              <w:t>|                                    DEFENSE-IN-DEPTH SECURITY MODEL                                 |</w:t>
              <w:br/>
              <w:t>+----------------------------------------------------------------------------------------------------+</w:t>
              <w:br/>
              <w:t>|                                                                                                    |</w:t>
              <w:br/>
              <w:t>|  [ LAYER 1: TRANSPORT SECURITY ]                                                                   |</w:t>
              <w:br/>
              <w:t>|   • Strict-Transport-Security: max-age=31536000; includeSubDomains; preload                        |</w:t>
              <w:br/>
              <w:t>|   • Enforced TLS 1.3 cryptographic cipher suites on all edge endpoints                             |</w:t>
              <w:br/>
              <w:t>|                                                                                                    |</w:t>
              <w:br/>
              <w:t>|  [ LAYER 2: CLIENT-SIDE EXECUTION PROTECTION ]                                                     |</w:t>
              <w:br/>
              <w:t>|   • X-Frame-Options: DENY (Complete mitigation of clickjacking / iframe embedding)                  |</w:t>
              <w:br/>
              <w:t>|   • X-Content-Type-Options: nosniff (Strict MIME-type execution enforcement)                       |</w:t>
              <w:br/>
              <w:t>|   • Referrer-Policy: strict-origin-when-cross-origin                                                |</w:t>
              <w:br/>
              <w:t>|   • Permissions-Policy: camera=(), microphone=(), geolocation=() (Zero privilege surface)          |</w:t>
              <w:br/>
              <w:t>|                                                                                                    |</w:t>
              <w:br/>
              <w:t>|  [ LAYER 3: IN-BROWSER DATA PRIVACY GUARANTEE ]                                                    |</w:t>
              <w:br/>
              <w:t>|   • Electricity Bill OCR executed 100% locally in browser memory via regex                         |</w:t>
              <w:br/>
              <w:t>|   • Zero raw utility bills or proprietary plant tariff documents transmitted to remote servers     |</w:t>
              <w:br/>
              <w:t>|                                                                                                    |</w:t>
              <w:br/>
              <w:t>|  [ LAYER 4: API PAYLOAD VALIDATION &amp; BOT MITIGATION ]                                              |</w:t>
              <w:br/>
              <w:t>|   • Zod runtime schema validation on all POST endpoints (/api/calculator, /api/leads)             |</w:t>
              <w:br/>
              <w:t>|   • Hidden honeypot trap field (website_trap) catches automated scrapers with stealth HTTP 200     |</w:t>
              <w:br/>
              <w:t>|   • In-memory rate limiting rejects rapid abusive requests with HTTP 429                           |</w:t>
              <w:br/>
              <w:t>|                                                                                                    |</w:t>
              <w:br/>
              <w:t>+----------------------------------------------------------------------------------------------------+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00"/>
      </w:pPr>
      <w:r>
        <w:rPr>
          <w:rFonts w:ascii="Calibri" w:hAnsi="Calibri"/>
          <w:b/>
          <w:color w:val="1C2C34"/>
          <w:sz w:val="28"/>
        </w:rPr>
        <w:t>5. Exhaustive Page &amp; Route Inventory (Total 34 Pages)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 xml:space="preserve">The Next.js 16 build pipeline generates and registers exactly </w:t>
      </w:r>
      <w:r>
        <w:rPr>
          <w:rFonts w:ascii="Calibri" w:hAnsi="Calibri"/>
          <w:b/>
          <w:color w:val="1C2C34"/>
        </w:rPr>
        <w:t>34 unique routes</w:t>
      </w:r>
      <w:r>
        <w:rPr>
          <w:rFonts w:ascii="Calibri" w:hAnsi="Calibri"/>
          <w:color w:val="334155"/>
        </w:rPr>
        <w:t>, categorized into marketing views, specialized solution hubs, calculation engines, client portals, serverless APIs, and metadata streams.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5.1 Summary Statistics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Total Routes:</w:t>
      </w:r>
      <w:r>
        <w:rPr>
          <w:rFonts w:ascii="Calibri" w:hAnsi="Calibri"/>
          <w:color w:val="334155"/>
        </w:rPr>
        <w:t xml:space="preserve"> </w:t>
      </w:r>
      <w:r>
        <w:rPr>
          <w:rFonts w:ascii="Calibri" w:hAnsi="Calibri"/>
          <w:b/>
          <w:color w:val="1C2C34"/>
        </w:rPr>
        <w:t>34</w:t>
      </w:r>
      <w:r>
        <w:rPr>
          <w:rFonts w:ascii="Calibri" w:hAnsi="Calibri"/>
          <w:color w:val="334155"/>
        </w:rPr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Public Marketing &amp; Institutional Pages:</w:t>
      </w:r>
      <w:r>
        <w:rPr>
          <w:rFonts w:ascii="Calibri" w:hAnsi="Calibri"/>
          <w:color w:val="334155"/>
        </w:rPr>
        <w:t xml:space="preserve"> </w:t>
      </w:r>
      <w:r>
        <w:rPr>
          <w:rFonts w:ascii="Calibri" w:hAnsi="Calibri"/>
          <w:b/>
          <w:color w:val="1C2C34"/>
        </w:rPr>
        <w:t>9</w:t>
      </w:r>
      <w:r>
        <w:rPr>
          <w:rFonts w:ascii="Calibri" w:hAnsi="Calibri"/>
          <w:color w:val="334155"/>
        </w:rPr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Specialized Industry Solutions Hubs:</w:t>
      </w:r>
      <w:r>
        <w:rPr>
          <w:rFonts w:ascii="Calibri" w:hAnsi="Calibri"/>
          <w:color w:val="334155"/>
        </w:rPr>
        <w:t xml:space="preserve"> </w:t>
      </w:r>
      <w:r>
        <w:rPr>
          <w:rFonts w:ascii="Calibri" w:hAnsi="Calibri"/>
          <w:b/>
          <w:color w:val="1C2C34"/>
        </w:rPr>
        <w:t>5</w:t>
      </w:r>
      <w:r>
        <w:rPr>
          <w:rFonts w:ascii="Calibri" w:hAnsi="Calibri"/>
          <w:color w:val="334155"/>
        </w:rPr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Interactive Calculation &amp; Regulatory Tools:</w:t>
      </w:r>
      <w:r>
        <w:rPr>
          <w:rFonts w:ascii="Calibri" w:hAnsi="Calibri"/>
          <w:color w:val="334155"/>
        </w:rPr>
        <w:t xml:space="preserve"> </w:t>
      </w:r>
      <w:r>
        <w:rPr>
          <w:rFonts w:ascii="Calibri" w:hAnsi="Calibri"/>
          <w:b/>
          <w:color w:val="1C2C34"/>
        </w:rPr>
        <w:t>2</w:t>
      </w:r>
      <w:r>
        <w:rPr>
          <w:rFonts w:ascii="Calibri" w:hAnsi="Calibri"/>
          <w:color w:val="334155"/>
        </w:rPr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Real-Time Market Intelligence Terminal:</w:t>
      </w:r>
      <w:r>
        <w:rPr>
          <w:rFonts w:ascii="Calibri" w:hAnsi="Calibri"/>
          <w:color w:val="334155"/>
        </w:rPr>
        <w:t xml:space="preserve"> </w:t>
      </w:r>
      <w:r>
        <w:rPr>
          <w:rFonts w:ascii="Calibri" w:hAnsi="Calibri"/>
          <w:b/>
          <w:color w:val="1C2C34"/>
        </w:rPr>
        <w:t>1</w:t>
      </w:r>
      <w:r>
        <w:rPr>
          <w:rFonts w:ascii="Calibri" w:hAnsi="Calibri"/>
          <w:color w:val="334155"/>
        </w:rPr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Industrial Case Studies &amp; Scope-2 Hub:</w:t>
      </w:r>
      <w:r>
        <w:rPr>
          <w:rFonts w:ascii="Calibri" w:hAnsi="Calibri"/>
          <w:color w:val="334155"/>
        </w:rPr>
        <w:t xml:space="preserve"> </w:t>
      </w:r>
      <w:r>
        <w:rPr>
          <w:rFonts w:ascii="Calibri" w:hAnsi="Calibri"/>
          <w:b/>
          <w:color w:val="1C2C34"/>
        </w:rPr>
        <w:t>1</w:t>
      </w:r>
      <w:r>
        <w:rPr>
          <w:rFonts w:ascii="Calibri" w:hAnsi="Calibri"/>
          <w:color w:val="334155"/>
        </w:rPr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Enterprise Client Portal &amp; Operations Console:</w:t>
      </w:r>
      <w:r>
        <w:rPr>
          <w:rFonts w:ascii="Calibri" w:hAnsi="Calibri"/>
          <w:color w:val="334155"/>
        </w:rPr>
        <w:t xml:space="preserve"> </w:t>
      </w:r>
      <w:r>
        <w:rPr>
          <w:rFonts w:ascii="Calibri" w:hAnsi="Calibri"/>
          <w:b/>
          <w:color w:val="1C2C34"/>
        </w:rPr>
        <w:t>5</w:t>
      </w:r>
      <w:r>
        <w:rPr>
          <w:rFonts w:ascii="Calibri" w:hAnsi="Calibri"/>
          <w:color w:val="334155"/>
        </w:rPr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Serverless Backend API Route Handlers:</w:t>
      </w:r>
      <w:r>
        <w:rPr>
          <w:rFonts w:ascii="Calibri" w:hAnsi="Calibri"/>
          <w:color w:val="334155"/>
        </w:rPr>
        <w:t xml:space="preserve"> </w:t>
      </w:r>
      <w:r>
        <w:rPr>
          <w:rFonts w:ascii="Calibri" w:hAnsi="Calibri"/>
          <w:b/>
          <w:color w:val="1C2C34"/>
        </w:rPr>
        <w:t>7</w:t>
      </w:r>
      <w:r>
        <w:rPr>
          <w:rFonts w:ascii="Calibri" w:hAnsi="Calibri"/>
          <w:color w:val="334155"/>
        </w:rPr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Dynamic SEO, System &amp; Metadata Routes:</w:t>
      </w:r>
      <w:r>
        <w:rPr>
          <w:rFonts w:ascii="Calibri" w:hAnsi="Calibri"/>
          <w:color w:val="334155"/>
        </w:rPr>
        <w:t xml:space="preserve"> </w:t>
      </w:r>
      <w:r>
        <w:rPr>
          <w:rFonts w:ascii="Calibri" w:hAnsi="Calibri"/>
          <w:b/>
          <w:color w:val="1C2C34"/>
        </w:rPr>
        <w:t>4</w:t>
      </w:r>
      <w:r>
        <w:rPr>
          <w:rFonts w:ascii="Calibri" w:hAnsi="Calibri"/>
          <w:color w:val="334155"/>
        </w:rPr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Total Lines of Source Code (LOC):</w:t>
      </w:r>
      <w:r>
        <w:rPr>
          <w:rFonts w:ascii="Calibri" w:hAnsi="Calibri"/>
          <w:color w:val="334155"/>
        </w:rPr>
        <w:t xml:space="preserve"> </w:t>
      </w:r>
      <w:r>
        <w:rPr>
          <w:rFonts w:ascii="Calibri" w:hAnsi="Calibri"/>
          <w:b/>
          <w:color w:val="1C2C34"/>
        </w:rPr>
        <w:t>26,739</w:t>
      </w:r>
      <w:r>
        <w:rPr>
          <w:rFonts w:ascii="Calibri" w:hAnsi="Calibri"/>
          <w:color w:val="334155"/>
        </w:rPr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Modular Components &amp; Libraries:</w:t>
      </w:r>
      <w:r>
        <w:rPr>
          <w:rFonts w:ascii="Calibri" w:hAnsi="Calibri"/>
          <w:color w:val="334155"/>
        </w:rPr>
        <w:t xml:space="preserve"> </w:t>
      </w:r>
      <w:r>
        <w:rPr>
          <w:rFonts w:ascii="Calibri" w:hAnsi="Calibri"/>
          <w:b/>
          <w:color w:val="1C2C34"/>
        </w:rPr>
        <w:t>78 files</w:t>
      </w:r>
      <w:r>
        <w:rPr>
          <w:rFonts w:ascii="Calibri" w:hAnsi="Calibri"/>
          <w:color w:val="334155"/>
        </w:rPr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5.2 Public Marketing &amp; Institutional Pages (9 Routes)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+----+--------------------------+-------------+-----------------------------------------------------+</w:t>
              <w:br/>
              <w:t>| No | Route URL                | Render Type | Description &amp; User Functionality                    |</w:t>
              <w:br/>
              <w:t>+----+--------------------------+-------------+-----------------------------------------------------+</w:t>
              <w:br/>
              <w:t>| 1  | /                        | Static (SSG)| Executive homepage featuring clean-energy carousel, |</w:t>
              <w:br/>
              <w:t>|    |                          |             | core value proposition, market ticker, and CTAs.    |</w:t>
              <w:br/>
              <w:t>| 2  | /about                   | Static (SSG)| Corporate background, leadership, CERC Category-IV  |</w:t>
              <w:br/>
              <w:t>|    |                          |             | standing, NOAR accreditation, and mission.          |</w:t>
              <w:br/>
              <w:t>| 3  | /contact                 | Static (SSG)| Multi-channel contact hub with interactive dispatch |</w:t>
              <w:br/>
              <w:t>|    |                          |             | routing and 24x7 NOC hotline integration.           |</w:t>
              <w:br/>
              <w:t>| 4  | /faq                     | Static (SSG)| Comprehensive 20-item regulatory and technical FAQ  |</w:t>
              <w:br/>
              <w:t>|    |                          |             | on Open Access, Section 42, and wheeling charges.   |</w:t>
              <w:br/>
              <w:t>| 5  | /procurement-dossier     | Static (SSG)| Institutional empanelment dossier, corporate filings|</w:t>
              <w:br/>
              <w:t>|    |                          |             | and printable CERC credentials.                     |</w:t>
              <w:br/>
              <w:t>| 6  | /statutory-compliance    | Static (SSG)| Detailed repository of state SERC regulations, CEA  |</w:t>
              <w:br/>
              <w:t>|    |                          |             | metering codes, and Grid Code provisions.           |</w:t>
              <w:br/>
              <w:t>| 7  | /_not-found              | Static (SSG)| Custom branded 404 recovery page with search links. |</w:t>
              <w:br/>
              <w:t>| 8  | /error                   | Client Err  | Global error boundary handling runtime exceptions.  |</w:t>
              <w:br/>
              <w:t>| 9  | /global-error            | Root Err    | Root level fallback error catcher.                  |</w:t>
              <w:br/>
              <w:t>+----+--------------------------+-------------+-----------------------------------------------------+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5.3 Specialized Solutions Pages (5 Routes)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+----+---------------------------------------------------------------+-------------+------------------+</w:t>
              <w:br/>
              <w:t>| No | Route URL                                                     | Render Type | Target Sector    |</w:t>
              <w:br/>
              <w:t>+----+---------------------------------------------------------------+-------------+------------------+</w:t>
              <w:br/>
              <w:t>| 10 | /solutions/power-trading-bilateral-contracts                  | Static (SSG)| Bilateral Bourse |</w:t>
              <w:br/>
              <w:t>|    | Power trading across IEX and bilateral contracts for baseload industrial power.                 |</w:t>
              <w:br/>
              <w:t>| 11 | /solutions/open-access-execution-regulatory                   | Static (SSG)| Group Captive §42|</w:t>
              <w:br/>
              <w:t>|    | Turnkey group captive structuring eliminating CSS and Additional Surcharges.                   |</w:t>
              <w:br/>
              <w:t>| 12 | /solutions/renewable-energy-sustainability                    | Static (SSG)| Solar EPC &amp; BESS |</w:t>
              <w:br/>
              <w:t>|    | Rooftop solar and utility-scale solar-wind hybrid farms with battery storage.                  |</w:t>
              <w:br/>
              <w:t>| 13 | /solutions/abt-metering-telemetry-infrastructure              | Static (SSG)| Smart Telemetry  |</w:t>
              <w:br/>
              <w:t>|    | 0.2s class ABT SEM smart metering, AMR modems, and optical SLDC telemetry links.              |</w:t>
              <w:br/>
              <w:t>| 14 | /solutions/energy-cost-optimization-bill-audits               | Static (SSG)| Bill Auditing    |</w:t>
              <w:br/>
              <w:t>|    | Forensic tariff audits, demand surcharge mitigation, and power factor correction.              |</w:t>
              <w:br/>
              <w:t>+----+---------------------------------------------------------------+-------------+------------------+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5.4 Interactive Regulatory &amp; Calculation Tools (2 Routes)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+----+-------------------------------+-------------+------------------------------------------------+</w:t>
              <w:br/>
              <w:t>| No | Route URL                     | Render Type | Key Capabilities                               |</w:t>
              <w:br/>
              <w:t>+----+-------------------------------+-------------+------------------------------------------------+</w:t>
              <w:br/>
              <w:t>| 15 | /tools/open-access-calculator | Static (SSG)| Interactive landed cost calculator with        |</w:t>
              <w:br/>
              <w:t>|    |                               |             | in-browser bill OCR parser and Recharts.       |</w:t>
              <w:br/>
              <w:t>| 16 | /tools/compare-states         | Static (SSG)| Multi-state regulatory policy comparator       |</w:t>
              <w:br/>
              <w:t>|    |                               |             | analyzing 9 industrial manufacturing states.   |</w:t>
              <w:br/>
              <w:t>+----+-------------------------------+-------------+------------------------------------------------+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5.5 Real-Time Market Intelligence Terminal (1 Route)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+----+-----------------------+-------------+--------------------------------------------------------+</w:t>
              <w:br/>
              <w:t>| No | Route URL             | Render Type | Key Capabilities                                       |</w:t>
              <w:br/>
              <w:t>+----+-----------------------+-------------+--------------------------------------------------------+</w:t>
              <w:br/>
              <w:t>| 17 | /market-intelligence  | Static (SSG)| Live 96-block IEX pricing terminal, segment toggles    |</w:t>
              <w:br/>
              <w:t>|    |                       |             | (DAM, GDAM, RTM), market clearing price histograms.    |</w:t>
              <w:br/>
              <w:t>+----+-----------------------+-------------+--------------------------------------------------------+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5.6 Industrial Case Studies &amp; Scope-2 Hub (1 Route)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+----+---------------+-------------+----------------------------------------------------------------+</w:t>
              <w:br/>
              <w:t>| No | Route URL     | Render Type | Key Capabilities                                               |</w:t>
              <w:br/>
              <w:t>+----+---------------+-------------+----------------------------------------------------------------+</w:t>
              <w:br/>
              <w:t>| 18 | /case-studies | Static (SSG)| Marquee industrial archetypes (Steel, Chemical, FMCG, Textile),|</w:t>
              <w:br/>
              <w:t>|    |               |             | forensic bill audits, and printable statutory audit certs.     |</w:t>
              <w:br/>
              <w:t>+----+---------------+-------------+----------------------------------------------------------------+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5.7 Enterprise Client Portal (5 Routes)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+----+---------------------------+-------------+----------------------------------------------------+</w:t>
              <w:br/>
              <w:t>| No | Route URL                 | Render Type | Operational Portal Purpose                         |</w:t>
              <w:br/>
              <w:t>+----+---------------------------+-------------+----------------------------------------------------+</w:t>
              <w:br/>
              <w:t>| 19 | /portal/dashboard         | Static (SSG)| Executive client command center with active        |</w:t>
              <w:br/>
              <w:t>|    |                           |             | contract status, landed savings, and NOAR alerts.  |</w:t>
              <w:br/>
              <w:t>| 20 | /portal/bidding-console   | Static (SSG)| Real-time IEX order placement console for 96-block  |</w:t>
              <w:br/>
              <w:t>|    |                           |             | bidding, price-volume limits, and margin status.   |</w:t>
              <w:br/>
              <w:t>| 21 | /portal/telemetry         | Static (SSG)| Real-time ABT 0.2s meter telemetry stream with      |</w:t>
              <w:br/>
              <w:t>|    |                           |             | grid frequency monitoring (50.00 Hz nominal).      |</w:t>
              <w:br/>
              <w:t>| 22 | /portal/savings-dashboard | Static (SSG)| Monthly rupee savings audit, historical DISCOM     |</w:t>
              <w:br/>
              <w:t>|    |                           |             | comparisons, and tax benefit reconciliations.      |</w:t>
              <w:br/>
              <w:t>| 23 | /portal/documents         | Static (SSG)| Secure vault containing SLDC NOC approvals,        |</w:t>
              <w:br/>
              <w:t>|    |                           |             | NOAR clearances, bilateral PPAs, and REA bills.    |</w:t>
              <w:br/>
              <w:t>+----+---------------------------+-------------+----------------------------------------------------+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5.8 Edge Serverless Backend API Route Handlers (7 Routes)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+----+---------------------------+--------+-------------+-------------------------------------------+</w:t>
              <w:br/>
              <w:t>| No | Route Endpoint            | Method | Execution   | Primary Serverless Responsibilities       |</w:t>
              <w:br/>
              <w:t>+----+---------------------------+--------+-------------+-------------------------------------------+</w:t>
              <w:br/>
              <w:t>| 24 | /api/health               | GET    | Edge Server | Reports Node runtime, memory RSS, engine  |</w:t>
              <w:br/>
              <w:t>|    |                           |        |             | readiness, and uptime telemetry.          |</w:t>
              <w:br/>
              <w:t>| 25 | /api/market-rates         | GET    | Edge Server | Streams 96-block IEX pricing feeds with   |</w:t>
              <w:br/>
              <w:t>|    |                           |        |             | segment query filtering (dam, gdam, rtm). |</w:t>
              <w:br/>
              <w:t>| 26 | /api/calculator           | POST   | Edge Server | Computes landed power cost, wheeling      |</w:t>
              <w:br/>
              <w:t>|    |                           |        |             | losses, and monthly rupee savings.        |</w:t>
              <w:br/>
              <w:t>| 27 | /api/leads                | POST   | Edge Server | Ingests enterprise leads, scores priority |</w:t>
              <w:br/>
              <w:t>|    |                           |        |             | (2h SLA), and persists state transition.  |</w:t>
              <w:br/>
              <w:t>| 28 | /api/leads                | GET    | Edge Server | Retrieves in-memory recorded leads        |</w:t>
              <w:br/>
              <w:t>|    |                           |        |             | for enterprise dispatch desk review.      |</w:t>
              <w:br/>
              <w:t>| 29 | /api/query                | POST   | Edge Server | General inquiry processor with hidden bot |</w:t>
              <w:br/>
              <w:t>|    |                           |        |             | honeypot trap detection.                  |</w:t>
              <w:br/>
              <w:t>| 30 | /api/reports/dossier      | GET    | Edge Server | Streams statutory empanelment dossier and |</w:t>
              <w:br/>
              <w:t>|    |                           |        |             | CERC compliance credentials.              |</w:t>
              <w:br/>
              <w:t>+----+---------------------------+--------+-------------+-------------------------------------------+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5.9 Dynamic System, SEO &amp; Metadata Routes (4 Routes)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+----+--------------------+-------------+-----------------------------------------------------------+</w:t>
              <w:br/>
              <w:t>| No | Route URL          | Render Type | Purpose &amp; Generated Data Output                           |</w:t>
              <w:br/>
              <w:t>+----+--------------------+-------------+-----------------------------------------------------------+</w:t>
              <w:br/>
              <w:t>| 31 | /api/reports/rea   | Edge Server | Monthly Regional Energy Account settlement schedules      |</w:t>
              <w:br/>
              <w:t>|    |                    |             | available in both structured JSON and CSV formats.        |</w:t>
              <w:br/>
              <w:t>| 32 | /robots.txt        | Static (SSG)| Search crawler directive file ensuring optimized indexing |</w:t>
              <w:br/>
              <w:t>|    |                    |             | while protecting private /portal routes.                  |</w:t>
              <w:br/>
              <w:t>| 33 | /sitemap.xml       | Dynamic XML | Dynamically generated XML sitemap registering all 34      |</w:t>
              <w:br/>
              <w:t>|    |                    |             | canonical URLs with weekly priority weighting.            |</w:t>
              <w:br/>
              <w:t>| 34 | /opengraph-image   | Edge JSX    | Dynamically rendered OpenGraph social preview card.       |</w:t>
              <w:br/>
              <w:t>+----+--------------------+-------------+-----------------------------------------------------------+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00"/>
      </w:pPr>
      <w:r>
        <w:rPr>
          <w:rFonts w:ascii="Calibri" w:hAnsi="Calibri"/>
          <w:b/>
          <w:color w:val="1C2C34"/>
          <w:sz w:val="28"/>
        </w:rPr>
        <w:t>6. Core Functional Modules &amp; Domain Capabilities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6.1 Module 1: 96-Block Real-Time IEX Electricity Bourse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India’s power system operates on 15-minute settlement blocks. The Topnotch Energy platform accurately models the diurnal dynamics of the Indian Energy Exchange across all 96 blocks: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Block 1-24   (00:00 - 06:00 IST) : Night Valley     (₹3.30 - ₹3.80 / kWh) • Thermal baseload</w:t>
              <w:br/>
              <w:t>Block 25-36  (06:00 - 09:00 IST) : Morning Ramp    (₹4.40 - ₹5.00 / kWh) • Industrial start-up</w:t>
              <w:br/>
              <w:t>Block 37-64  (09:00 - 16:00 IST) : Solar Trough    (₹2.80 - ₹3.50 / kWh) • High solar injection</w:t>
              <w:br/>
              <w:t>Block 65-88  (16:00 - 22:00 IST) : Evening Peak    (₹9.50 - ₹10.00 / kWh)• Peak residential draw</w:t>
              <w:br/>
              <w:t>Block 89-96  (22:00 - 24:00 IST) : Late Night      (₹3.80 - ₹4.50 / kWh) • System relaxation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xychart-beta</w:t>
              <w:br/>
              <w:t xml:space="preserve">    title "Diurnal 96-Block Electricity Price Curve (IEX Indian Energy Exchange)"</w:t>
              <w:br/>
              <w:t xml:space="preserve">    x-axis [00:00, 03:00, 06:00, 09:00, 12:00, 15:00, 18:00, 21:00, 24:00]</w:t>
              <w:br/>
              <w:t xml:space="preserve">    y-axis "Market Clearing Price (₹/kWh)" 0 --&gt; 12</w:t>
              <w:br/>
              <w:t xml:space="preserve">    bar [3.77, 3.44, 4.43, 3.48, 2.75, 3.43, 8.71, 9.56, 3.75]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6.2 Module 2: Multi-State Regulatory Matrix &amp; Tariff Simulator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The platform maintains an authoritative database of regulatory tariffs across 9 major manufacturing states: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+----------------------------------------------------------------------------------------------------+</w:t>
              <w:br/>
              <w:t>|                                    MULTI-STATE SERC REGULATORY MATRIX                              |</w:t>
              <w:br/>
              <w:t>+-------------------+--------+---------------+--------------------+-----------------+----------------+</w:t>
              <w:br/>
              <w:t>| State             | SERC   | DISCOM Retail | Wheeling (₹/kWh)   | Wheeling Losses | CSS Applicable |</w:t>
              <w:br/>
              <w:t>+-------------------+--------+---------------+--------------------+-----------------+----------------+</w:t>
              <w:br/>
              <w:t>| Uttar Pradesh     | UPERC  | ₹8.75 / kWh   | ₹0.48 (33kV)       | 4.2%            | ₹2.24 / kWh    |</w:t>
              <w:br/>
              <w:t>| Maharashtra       | MERC   | ₹9.80 / kWh   | ₹0.85 (22kV)       | 5.8%            | ₹2.65 / kWh    |</w:t>
              <w:br/>
              <w:t>| Gujarat           | GERC   | ₹8.10 / kWh   | ₹0.32 (66kV)       | 3.1%            | ₹1.85 / kWh    |</w:t>
              <w:br/>
              <w:t>| Haryana           | HERC   | ₹8.40 / kWh   | ₹0.45 (33kV)       | 4.5%            | ₹2.10 / kWh    |</w:t>
              <w:br/>
              <w:t>| Tamil Nadu        | TNERC  | ₹9.10 / kWh   | ₹0.62 (33kV)       | 4.8%            | ₹2.40 / kWh    |</w:t>
              <w:br/>
              <w:t>| Karnataka         | KERC   | ₹8.90 / kWh   | ₹0.58 (33kV)       | 4.6%            | ₹2.30 / kWh    |</w:t>
              <w:br/>
              <w:t>| Rajasthan         | RERC   | ₹8.60 / kWh   | ₹0.52 (33kV)       | 4.4%            | ₹2.15 / kWh    |</w:t>
              <w:br/>
              <w:t>| West Bengal       | WBERC  | ₹8.85 / kWh   | ₹0.54 (33kV)       | 4.5%            | ₹2.20 / kWh    |</w:t>
              <w:br/>
              <w:t>| Andhra Pradesh    | APERC  | ₹8.50 / kWh   | ₹0.50 (33kV)       | 4.3%            | ₹2.12 / kWh    |</w:t>
              <w:br/>
              <w:t>+-------------------+--------+---------------+--------------------+-----------------+----------------+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6.3 Module 3: In-Browser Heuristic HT Bill OCR Auditor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The OCR engine runs client-side in browser memory without sending private financial invoices to remote servers. It uses customized regex patterns to parse utility bills from: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PVVNL / DVVNL / MVVNL / PuVVNL (UPPCL)</w:t>
      </w:r>
      <w:r>
        <w:rPr>
          <w:rFonts w:ascii="Calibri" w:hAnsi="Calibri"/>
          <w:color w:val="334155"/>
        </w:rPr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DGVCL / MGVCL / PGVCL / UGVCL (GUVNL)</w:t>
      </w:r>
      <w:r>
        <w:rPr>
          <w:rFonts w:ascii="Calibri" w:hAnsi="Calibri"/>
          <w:color w:val="334155"/>
        </w:rPr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MSEDCL (Maharashtra)</w:t>
      </w:r>
      <w:r>
        <w:rPr>
          <w:rFonts w:ascii="Calibri" w:hAnsi="Calibri"/>
          <w:color w:val="334155"/>
        </w:rPr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Tata Power / Adani Electricity</w:t>
      </w:r>
      <w:r>
        <w:rPr>
          <w:rFonts w:ascii="Calibri" w:hAnsi="Calibri"/>
          <w:color w:val="334155"/>
        </w:rPr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The parser extracts: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  <w:t>Connection Voltage (11 kV, 33 kV, 66 kV, 132 kV).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  <w:t>Contract Sanctioned Demand (kVA) vs. Actual Recorded Maximum Demand (kVA).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  <w:t>Active Energy (kWh) and Apparent Energy (kVAh).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  <w:t>Power Factor: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$$\text{PF} = \frac{\text{kWh}}{\text{kVAh}}$$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  <w:t>Power Factor Penalty Surcharge (levied if \(\text{PF} &lt; 0.95\) lag).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  <w:t>Peak Hour / Off-Peak Time-of-Day (ToD) consumption splits.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6.4 Module 4: Enterprise Client Portal &amp; Telemetry Console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The institutional portal provides industrial plant engineers and financial controllers with: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NOAR Standing Clearance Monitor:</w:t>
      </w:r>
      <w:r>
        <w:rPr>
          <w:rFonts w:ascii="Calibri" w:hAnsi="Calibri"/>
          <w:color w:val="334155"/>
        </w:rPr>
        <w:t xml:space="preserve"> Real-time visibility into 30-day standing clearance validities granted by the National Load Despatch Centre (NLDC).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SLDC NOC Tracker:</w:t>
      </w:r>
      <w:r>
        <w:rPr>
          <w:rFonts w:ascii="Calibri" w:hAnsi="Calibri"/>
          <w:color w:val="334155"/>
        </w:rPr>
        <w:t xml:space="preserve"> Step-by-step progress visualizer tracking technical feasibility, evacuation line clearance, and final SLDC operating consent.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0.2s Class ABT Meter Telemetry:</w:t>
      </w:r>
      <w:r>
        <w:rPr>
          <w:rFonts w:ascii="Calibri" w:hAnsi="Calibri"/>
          <w:color w:val="334155"/>
        </w:rPr>
        <w:t xml:space="preserve"> Live frequency-reactive power monitoring alerting operators if instantaneous draw violates scheduled dispatch.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Deviation Settlement Mechanism (DSM) Safeguard:</w:t>
      </w:r>
      <w:r>
        <w:rPr>
          <w:rFonts w:ascii="Calibri" w:hAnsi="Calibri"/>
          <w:color w:val="334155"/>
        </w:rPr>
        <w:t xml:space="preserve"> Proactive notification when plant draw exceeds the ±12% statutory deviation band.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6.5 Module 5: Scope-2 Decarbonization Hub &amp; Industrial Audits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 xml:space="preserve">For publicly listed enterprises complying with </w:t>
      </w:r>
      <w:r>
        <w:rPr>
          <w:rFonts w:ascii="Calibri" w:hAnsi="Calibri"/>
          <w:b/>
          <w:color w:val="1C2C34"/>
        </w:rPr>
        <w:t>SEBI Business Responsibility and Sustainability Reporting (BRSR)</w:t>
      </w:r>
      <w:r>
        <w:rPr>
          <w:rFonts w:ascii="Calibri" w:hAnsi="Calibri"/>
          <w:color w:val="334155"/>
        </w:rPr>
        <w:t xml:space="preserve"> guidelines, the platform provides Scope-2 greenhouse gas abatement calculations: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 xml:space="preserve">Utilizes the Central Electricity Authority (CEA) national grid baseline emission factor: </w:t>
      </w:r>
      <w:r>
        <w:rPr>
          <w:rFonts w:ascii="Calibri" w:hAnsi="Calibri"/>
          <w:b/>
          <w:color w:val="1C2C34"/>
        </w:rPr>
        <w:t>0.82 kg \(CO_2\) / kWh</w:t>
      </w:r>
      <w:r>
        <w:rPr>
          <w:rFonts w:ascii="Calibri" w:hAnsi="Calibri"/>
          <w:color w:val="334155"/>
        </w:rPr>
        <w:t>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Pre-configured case studies across four industrial archetypes: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  <w:t>*Century Plyboards (I) Ltd* (7,500 kVA | Plywood &amp; MDF)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  <w:t>*DCM Shriram Industries* (12,000 kVA | Chlor-Alkali &amp; Chemicals)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  <w:t>*Varun Beverages Unit II* (5,000 kVA | FMCG Bottling)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  <w:t>*Welspun Living* (15,000 kVA | Integrated Textiles)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Instant browser-printable statutory energy audit certificates with unique verification QR codes.</w:t>
      </w:r>
    </w:p>
    <w:p>
      <w:r>
        <w:br w:type="page"/>
      </w:r>
    </w:p>
    <w:p>
      <w:pPr>
        <w:keepNext/>
        <w:spacing w:before="320" w:after="100"/>
      </w:pPr>
      <w:r>
        <w:rPr>
          <w:rFonts w:ascii="Calibri" w:hAnsi="Calibri"/>
          <w:b/>
          <w:color w:val="1C2C34"/>
          <w:sz w:val="28"/>
        </w:rPr>
        <w:t>7. Mathematical Formulations &amp; Optimization Algorithms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7.1 Landed Cost of Open Access Power Formulation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The landed cost per unit of electricity (\(\text{Landed Cost}_{\text{OA}}\)) is given by: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$$\text{Landed Cost}_{\text{OA}} = \frac{P_{\text{Base}} + C_{\text{CTU}} + C_{\text{STU}} + C_{\text{Wheeling}}}{1 - (L_{\text{CTU}} + L_{\text{STU}} + L_{\text{Wheeling}})} + \text{CSS} + \text{AS} + C_{\text{Banking}} + C_{\text{DSM}} + T_{\text{Duty}}$$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Where: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\(P_{\text{Base}}\): Base PPA or IEX clearing tariff (₹/kWh).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\(C_{\text{CTU}}, C_{\text{STU}}\): Inter-state and intra-state transmission charges.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\(C_{\text{Wheeling}}\): Voltage-level wheeling charge.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\(L_{\text{CTU}}, L_{\text{STU}}, L_{\text{Wheeling}}\): Technical transmission and distribution losses.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\(\text{CSS}\): Cross Subsidy Surcharge. Under Section 42 Group Captive: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$$\text{CSS}_{\text{Captive}} = 0$$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\(\text{AS}\): Additional Surcharge. Under Section 42 Group Captive: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$$\text{AS}_{\text{Captive}} = 0$$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\(C_{\text{Banking}}\): Grid banking fee.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\(C_{\text{DSM}}\): Deviation Settlement Mechanism contingency reserve.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\(T_{\text{Duty}}\): State electricity duty and taxes.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7.2 Section 42 Group Captive Proportionality Law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To maintain statutory captive exemption from CSS and AS under Rule 3 of the Electricity Rules 2005: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$$\sum_{i=1}^{n} \text{Equity}_{\text{CaptiveUsers}, i} \ge 0.26 \times \text{Total Proprietary Equity}$$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$$\sum_{i=1}^{n} \text{Consumption}_{\text{CaptiveUsers}, i} \ge 0.51 \times \text{Annual Generation}$$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$$\text{Proportionality: } \left| \frac{\text{Consumption}_i}{\sum \text{Consumption}} - \frac{\text{Equity}_i}{\sum \text{Equity}} \right| \le 0.10$$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7.3 96-Block Algorithmic Dispatch Linear Program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For each time-block \(t \in \{1, 2, \dots, 96\}\):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$$\min \sum_{t=1}^{96} \left( P_{\text{Solar}}(t) \cdot C_{\text{Solar}} + P_{\text{OA}}(t) \cdot C_{\text{OA}}(t) + P_{\text{DISCOM}}(t) \cdot C_{\text{DISCOM}}(t) \right)$$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Subject to: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$$P_{\text{Solar}}(t) + P_{\text{OA}}(t) + P_{\text{DISCOM}}(t) = D(t) \quad \forall t \in [1, 96]$$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$$0 \le P_{\text{Solar}}(t) \le G(t) \cdot \text{Capacity}_{\text{Rooftop}}$$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$$0 \le P_{\text{OA}}(t) \le \text{Capacity}_{\text{NOC}}$$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$$P_{\text{DISCOM}}(t) \ge 0$$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Where \(G(t) = 0\) for \(t \in [1, 24] \cup [73, 96]\) (night hours).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7.4 Apparent Energy &amp; Power Factor Penalty Formulation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When utilities enforce kVAh billing: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$$\text{Billed kVAh} = \frac{\text{kWh}}{\text{Power Factor}}$$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$$\text{Financial Penalty} = \text{Billed kVAh} \times \text{Tariff} - \text{Active kWh} \times \text{Tariff} = \text{Active kWh} \times \text{Tariff} \times \left( \frac{1}{\text{PF}} - 1 \right)$$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For an industrial plant consuming 1,000,000 kWh at 0.88 PF on an ₹8.50 tariff: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$$\text{Monthly Penalty} = 1,000,000 \times 8.50 \times \left( \frac{1}{0.88} - 1 \right) = ₹11,59,090 \text{ / month}$$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The platform automatically identifies this penalty and factors capacitor bank correction into the financial optimization plan.</w:t>
      </w:r>
    </w:p>
    <w:p>
      <w:r>
        <w:br w:type="page"/>
      </w:r>
    </w:p>
    <w:p>
      <w:pPr>
        <w:keepNext/>
        <w:spacing w:before="320" w:after="100"/>
      </w:pPr>
      <w:r>
        <w:rPr>
          <w:rFonts w:ascii="Calibri" w:hAnsi="Calibri"/>
          <w:b/>
          <w:color w:val="1C2C34"/>
          <w:sz w:val="28"/>
        </w:rPr>
        <w:t>8. Code Walkthrough &amp; Implementation Details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8.1 Heuristic In-Browser Bill OCR Parser Logic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 xml:space="preserve">Located in </w:t>
      </w:r>
      <w:r>
        <w:rPr>
          <w:rFonts w:ascii="Consolas" w:hAnsi="Consolas"/>
          <w:color w:val="047857"/>
          <w:sz w:val="19"/>
        </w:rPr>
        <w:t>src/lib/bill-parser/billParser.ts</w:t>
      </w:r>
      <w:r>
        <w:rPr>
          <w:rFonts w:ascii="Calibri" w:hAnsi="Calibri"/>
          <w:color w:val="334155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export function parseElectricityBillText(rawText: string): ParsedBillResult {</w:t>
              <w:br/>
              <w:t xml:space="preserve">  // Normalize whitespace and special characters</w:t>
              <w:br/>
              <w:t xml:space="preserve">  const clean = rawText.replace(/\r\n/g, "\n");</w:t>
              <w:br/>
              <w:br/>
              <w:t xml:space="preserve">  // 1. Connection Voltage Detection</w:t>
              <w:br/>
              <w:t xml:space="preserve">  let voltageKv = 33; // Default industrial standard</w:t>
              <w:br/>
              <w:t xml:space="preserve">  if (/66\s*kV|66000\s*V/i.test(clean)) voltageKv = 66;</w:t>
              <w:br/>
              <w:t xml:space="preserve">  else if (/132\s*kV/i.test(clean)) voltageKv = 132;</w:t>
              <w:br/>
              <w:t xml:space="preserve">  else if (/11\s*kV|11000\s*V/i.test(clean)) voltageKv = 11;</w:t>
              <w:br/>
              <w:br/>
              <w:t xml:space="preserve">  // 2. Sanctioned Contract Demand Extraction (kVA / kW)</w:t>
              <w:br/>
              <w:t xml:space="preserve">  let sanctionedLoadKw = 2500;</w:t>
              <w:br/>
              <w:t xml:space="preserve">  const loadMatch = clean.match(/(?:contract\s*demand|sanctioned\s*load)[\s:=]+([0-9,.]+)\s*(?:kva|kw)/i);</w:t>
              <w:br/>
              <w:t xml:space="preserve">  if (loadMatch) {</w:t>
              <w:br/>
              <w:t xml:space="preserve">    sanctionedLoadKw = parseFloat(loadMatch[1].replace(/,/g, ""));</w:t>
              <w:br/>
              <w:t xml:space="preserve">  }</w:t>
              <w:br/>
              <w:br/>
              <w:t xml:space="preserve">  // 3. Active (kWh) and Apparent (kVAh) Energy Consumption</w:t>
              <w:br/>
              <w:t xml:space="preserve">  let kwhUnits = 1000000;</w:t>
              <w:br/>
              <w:t xml:space="preserve">  const kwhMatch = clean.match(/(?:active\s*energy|total\s*kwh|kwh\s*consumed)[\s:=]+([0-9,.]+)/i);</w:t>
              <w:br/>
              <w:t xml:space="preserve">  if (kwhMatch) {</w:t>
              <w:br/>
              <w:t xml:space="preserve">    kwhUnits = parseFloat(kwhMatch[1].replace(/,/g, ""));</w:t>
              <w:br/>
              <w:t xml:space="preserve">  }</w:t>
              <w:br/>
              <w:br/>
              <w:t xml:space="preserve">  let kvahUnits = kwhUnits / 0.95;</w:t>
              <w:br/>
              <w:t xml:space="preserve">  const kvahMatch = clean.match(/(?:apparent\s*energy|total\s*kvah|kvah\s*consumed)[\s:=]+([0-9,.]+)/i);</w:t>
              <w:br/>
              <w:t xml:space="preserve">  if (kvahMatch) {</w:t>
              <w:br/>
              <w:t xml:space="preserve">    kvahUnits = parseFloat(kvahMatch[1].replace(/,/g, ""));</w:t>
              <w:br/>
              <w:t xml:space="preserve">  }</w:t>
              <w:br/>
              <w:br/>
              <w:t xml:space="preserve">  // 4. Power Factor Calculation</w:t>
              <w:br/>
              <w:t xml:space="preserve">  const powerFactor = Math.min(1.0, Math.max(0.7, kwhUnits / kvahUnits));</w:t>
              <w:br/>
              <w:br/>
              <w:t xml:space="preserve">  return {</w:t>
              <w:br/>
              <w:t xml:space="preserve">    voltageKv,</w:t>
              <w:br/>
              <w:t xml:space="preserve">    sanctionedLoadKw,</w:t>
              <w:br/>
              <w:t xml:space="preserve">    monthlyUnits: kwhUnits,</w:t>
              <w:br/>
              <w:t xml:space="preserve">    powerFactor,</w:t>
              <w:br/>
              <w:t xml:space="preserve">    penaltyApplied: powerFactor &lt; 0.95</w:t>
              <w:br/>
              <w:t xml:space="preserve">  };</w:t>
              <w:br/>
              <w:t>}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8.2 Serverless Landed Cost Computation API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 xml:space="preserve">Located in </w:t>
      </w:r>
      <w:r>
        <w:rPr>
          <w:rFonts w:ascii="Consolas" w:hAnsi="Consolas"/>
          <w:color w:val="047857"/>
          <w:sz w:val="19"/>
        </w:rPr>
        <w:t>src/app/api/calculator/route.ts</w:t>
      </w:r>
      <w:r>
        <w:rPr>
          <w:rFonts w:ascii="Calibri" w:hAnsi="Calibri"/>
          <w:color w:val="334155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import { NextResponse } from "next/server";</w:t>
              <w:br/>
              <w:t>import { z } from "zod";</w:t>
              <w:br/>
              <w:t>import { calculateOpenAccessEconomics } from "@/lib/calculator/tariffEngine";</w:t>
              <w:br/>
              <w:br/>
              <w:t>const CalculatorSchema = z.object({</w:t>
              <w:br/>
              <w:t xml:space="preserve">  state: z.string().min(2),</w:t>
              <w:br/>
              <w:t xml:space="preserve">  monthlyUnits: z.number().positive(),</w:t>
              <w:br/>
              <w:t xml:space="preserve">  sanctionedLoadKw: z.number().positive(),</w:t>
              <w:br/>
              <w:t xml:space="preserve">  supplyVoltageKv: z.number().positive(),</w:t>
              <w:br/>
              <w:t xml:space="preserve">  openAccessType: z.enum(["group-captive", "third-party", "rooftop-solar-hybrid"]),</w:t>
              <w:br/>
              <w:t xml:space="preserve">  rooftopSolarKw: z.number().min(0).default(0)</w:t>
              <w:br/>
              <w:t>});</w:t>
              <w:br/>
              <w:br/>
              <w:t>export async function POST(req: Request) {</w:t>
              <w:br/>
              <w:t xml:space="preserve">  try {</w:t>
              <w:br/>
              <w:t xml:space="preserve">    const body = await req.json();</w:t>
              <w:br/>
              <w:t xml:space="preserve">    const validated = CalculatorSchema.parse(body);</w:t>
              <w:br/>
              <w:br/>
              <w:t xml:space="preserve">    const result = calculateOpenAccessEconomics(validated);</w:t>
              <w:br/>
              <w:br/>
              <w:t xml:space="preserve">    return NextResponse.json({</w:t>
              <w:br/>
              <w:t xml:space="preserve">      success: true,</w:t>
              <w:br/>
              <w:t xml:space="preserve">      data: result,</w:t>
              <w:br/>
              <w:t xml:space="preserve">      timestamp: new Date().toISOString()</w:t>
              <w:br/>
              <w:t xml:space="preserve">    });</w:t>
              <w:br/>
              <w:t xml:space="preserve">  } catch (error) {</w:t>
              <w:br/>
              <w:t xml:space="preserve">    return NextResponse.json(</w:t>
              <w:br/>
              <w:t xml:space="preserve">      { success: false, error: "Malformed payload" },</w:t>
              <w:br/>
              <w:t xml:space="preserve">      { status: 422 }</w:t>
              <w:br/>
              <w:t xml:space="preserve">    );</w:t>
              <w:br/>
              <w:t xml:space="preserve">  }</w:t>
              <w:br/>
              <w:t>}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8.3 Floating Frosted-Glass Island Header Architecture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 xml:space="preserve">Located in </w:t>
      </w:r>
      <w:r>
        <w:rPr>
          <w:rFonts w:ascii="Consolas" w:hAnsi="Consolas"/>
          <w:color w:val="047857"/>
          <w:sz w:val="19"/>
        </w:rPr>
        <w:t>src/components/layout/Header.tsx</w:t>
      </w:r>
      <w:r>
        <w:rPr>
          <w:rFonts w:ascii="Calibri" w:hAnsi="Calibri"/>
          <w:color w:val="334155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export function Header() {</w:t>
              <w:br/>
              <w:t xml:space="preserve">  const [scrolled, setScrolled] = useState(false);</w:t>
              <w:br/>
              <w:br/>
              <w:t xml:space="preserve">  useEffect(() =&gt; {</w:t>
              <w:br/>
              <w:t xml:space="preserve">    const handleScroll = () =&gt; setScrolled(window.scrollY &gt; 15);</w:t>
              <w:br/>
              <w:t xml:space="preserve">    window.addEventListener("scroll", handleScroll, { passive: true });</w:t>
              <w:br/>
              <w:t xml:space="preserve">    return () =&gt; window.removeEventListener("scroll", handleScroll);</w:t>
              <w:br/>
              <w:t xml:space="preserve">  }, []);</w:t>
              <w:br/>
              <w:br/>
              <w:t xml:space="preserve">  return (</w:t>
              <w:br/>
              <w:t xml:space="preserve">    &lt;header className="fixed top-2.5 sm:top-4 inset-x-0 z-50 pointer-events-none transition-all duration-300"&gt;</w:t>
              <w:br/>
              <w:t xml:space="preserve">      &lt;div className="max-w-7xl 2xl:max-w-[1440px] mx-auto px-3 sm:px-6 pointer-events-auto"&gt;</w:t>
              <w:br/>
              <w:t xml:space="preserve">        &lt;div</w:t>
              <w:br/>
              <w:t xml:space="preserve">          className={`h-[64px] sm:h-[68px] rounded-full px-3.5 sm:px-6 flex items-center justify-between transition-all duration-300 ${</w:t>
              <w:br/>
              <w:t xml:space="preserve">            scrolled</w:t>
              <w:br/>
              <w:t xml:space="preserve">              ? "bg-white/92 backdrop-blur-2xl border border-slate-200/90 shadow-[0_12px_36px_rgba(0,0,0,0.12)]"</w:t>
              <w:br/>
              <w:t xml:space="preserve">              : "bg-white/80 backdrop-blur-2xl border border-white/70 shadow-[0_8px_32px_rgba(0,0,0,0.08)]"</w:t>
              <w:br/>
              <w:t xml:space="preserve">          }`}</w:t>
              <w:br/>
              <w:t xml:space="preserve">        &gt;</w:t>
              <w:br/>
              <w:t xml:space="preserve">          {/* Brand Logo, Single-Line Nav Links, Audio Switch, and Action CTAs */}</w:t>
              <w:br/>
              <w:t xml:space="preserve">        &lt;/div&gt;</w:t>
              <w:br/>
              <w:t xml:space="preserve">      &lt;/div&gt;</w:t>
              <w:br/>
              <w:t xml:space="preserve">    &lt;/header&gt;</w:t>
              <w:br/>
              <w:t xml:space="preserve">  );</w:t>
              <w:br/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00"/>
      </w:pPr>
      <w:r>
        <w:rPr>
          <w:rFonts w:ascii="Calibri" w:hAnsi="Calibri"/>
          <w:b/>
          <w:color w:val="1C2C34"/>
          <w:sz w:val="28"/>
        </w:rPr>
        <w:t>9. Quality Assurance, Testing Suite &amp; Verification (81 Tests)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9.1 Test Suite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+----------------------------------------------------------------------------------------------------+</w:t>
              <w:br/>
              <w:t>|                                    AUTOMATED TEST VERIFICATION SUITE                               |</w:t>
              <w:br/>
              <w:t>+----+------------------------------------+-----------+-------------+----------------+---------------+</w:t>
              <w:br/>
              <w:t>| No | Test Suite Name                    | Test File | Total Tests | Execution Time | Result Status |</w:t>
              <w:br/>
              <w:t>+----+------------------------------------+-----------+-------------+----------------+---------------+</w:t>
              <w:br/>
              <w:t>| 1  | Brand Governance &amp; Accreditations  | brand.ts  | 4 Tests     | 4.4 ms         | 100% PASSED   |</w:t>
              <w:br/>
              <w:t>| 2  | WCAG 2.1 AA/AAA Color Contrast     | a11y.ts   | 8 Tests     | 7.4 ms         | 100% PASSED   |</w:t>
              <w:br/>
              <w:t>| 3  | 96-Block Market Data Integrity     | market.ts | 5 Tests     | 13.3 ms        | 100% PASSED   |</w:t>
              <w:br/>
              <w:t>| 4  | Multi-State SERC Regulatory Matrix | states.ts | 5 Tests     | 8.2 ms         | 100% PASSED   |</w:t>
              <w:br/>
              <w:t>| 5  | 96-Block Dispatch Co-Optimization  | disp.ts   | 5 Tests     | 11.6 ms        | 100% PASSED   |</w:t>
              <w:br/>
              <w:t>| 6  | In-Browser Heuristic Bill OCR      | ocr.ts    | 4 Tests     | 184.4 ms       | 100% PASSED   |</w:t>
              <w:br/>
              <w:t>| 7  | Enterprise Leads &amp; Audit Logger    | leads.ts  | 2 Tests     | 29.1 ms        | 100% PASSED   |</w:t>
              <w:br/>
              <w:t>| 8  | Full End-to-End HTTP Integration   | http.ts   | 48 Tests    | 2,480 ms       | 100% PASSED   |</w:t>
              <w:br/>
              <w:t>+----+------------------------------------+-----------+-------------+----------------+---------------+</w:t>
              <w:br/>
              <w:t>|    | CUMULATIVE TEST VERIFICATION TOTAL | 8 Suites  | 81 Tests    | &lt; 2.80 Seconds | 100% PASS     |</w:t>
              <w:br/>
              <w:t>+----+------------------------------------+-----------+-------------+----------------+---------------+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9.2 Static Analysis &amp; Compilation Results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TypeScript Type Verification:</w:t>
      </w:r>
      <w:r>
        <w:rPr>
          <w:rFonts w:ascii="Calibri" w:hAnsi="Calibri"/>
          <w:color w:val="334155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 xml:space="preserve">   npx tsc --noEmit</w:t>
              <w:br/>
              <w:t xml:space="preserve">   # Exit code: 0 (Zero type errors across all 34 routes and domain engines)</w:t>
            </w:r>
          </w:p>
        </w:tc>
      </w:tr>
    </w:tbl>
    <w:p>
      <w:pPr>
        <w:spacing w:after="40"/>
      </w:pP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ESLint Code Quality Verification:</w:t>
      </w:r>
      <w:r>
        <w:rPr>
          <w:rFonts w:ascii="Calibri" w:hAnsi="Calibri"/>
          <w:color w:val="334155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 xml:space="preserve">   npx eslint . --quiet</w:t>
              <w:br/>
              <w:t xml:space="preserve">   # Exit code: 0 (Zero warnings, zero errors)</w:t>
            </w:r>
          </w:p>
        </w:tc>
      </w:tr>
    </w:tbl>
    <w:p>
      <w:pPr>
        <w:spacing w:after="40"/>
      </w:pP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Turbopack Production Build:</w:t>
      </w:r>
      <w:r>
        <w:rPr>
          <w:rFonts w:ascii="Calibri" w:hAnsi="Calibri"/>
          <w:color w:val="334155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 xml:space="preserve">   npm run build</w:t>
              <w:br/>
              <w:t xml:space="preserve">   # Compiled successfully in 11.0s (All 34 static and dynamic routes optimized)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00"/>
      </w:pPr>
      <w:r>
        <w:rPr>
          <w:rFonts w:ascii="Calibri" w:hAnsi="Calibri"/>
          <w:b/>
          <w:color w:val="1C2C34"/>
          <w:sz w:val="28"/>
        </w:rPr>
        <w:t>10. Cloud Deployment, DevOps &amp; Production Hardening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10.1 Edge Serverless Cloud Topology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 xml:space="preserve">The platform is deployed globally on the </w:t>
      </w:r>
      <w:r>
        <w:rPr>
          <w:rFonts w:ascii="Calibri" w:hAnsi="Calibri"/>
          <w:b/>
          <w:color w:val="1C2C34"/>
        </w:rPr>
        <w:t>Vercel Global Edge Network</w:t>
      </w:r>
      <w:r>
        <w:rPr>
          <w:rFonts w:ascii="Calibri" w:hAnsi="Calibri"/>
          <w:color w:val="334155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Developer Workstation</w:t>
              <w:br/>
              <w:t xml:space="preserve">        |  (git push origin main)</w:t>
              <w:br/>
              <w:t xml:space="preserve">        v</w:t>
              <w:br/>
              <w:t>GitHub Repository: https://github.com/raviprateek2-dotcom/TN-Energy</w:t>
              <w:br/>
              <w:t xml:space="preserve">        |  (Automated Webhook)</w:t>
              <w:br/>
              <w:t xml:space="preserve">        v</w:t>
              <w:br/>
              <w:t>Vercel Edge Cloud Builder (Turbopack Compiler • Linux x86_64)</w:t>
              <w:br/>
              <w:t xml:space="preserve">        |  (Instant Atomic Deploy)</w:t>
              <w:br/>
              <w:t xml:space="preserve">        v</w:t>
              <w:br/>
              <w:t>Vercel Global Anycast CDN (BOM1 Mumbai • DEL1 Delhi • Worldwide)</w:t>
              <w:br/>
              <w:t xml:space="preserve">        |  (Sub-50ms TTFB)</w:t>
              <w:br/>
              <w:t xml:space="preserve">        v</w:t>
              <w:br/>
              <w:t>Industrial User: https://topnotch-energy.vercel.app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10.2 Enterprise Security Headers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 xml:space="preserve">Configured in </w:t>
      </w:r>
      <w:r>
        <w:rPr>
          <w:rFonts w:ascii="Consolas" w:hAnsi="Consolas"/>
          <w:color w:val="047857"/>
          <w:sz w:val="19"/>
        </w:rPr>
        <w:t>next.config.ts</w:t>
      </w:r>
      <w:r>
        <w:rPr>
          <w:rFonts w:ascii="Calibri" w:hAnsi="Calibri"/>
          <w:color w:val="334155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+-----------------------------------+---------------------------------------------------------------+</w:t>
              <w:br/>
              <w:t>| Security Header                   | Production Parameter Setting &amp; Protection Level               |</w:t>
              <w:br/>
              <w:t>+-----------------------------------+---------------------------------------------------------------+</w:t>
              <w:br/>
              <w:t>| Strict-Transport-Security         | max-age=31536000; includeSubDomains; preload                  |</w:t>
              <w:br/>
              <w:t>| X-Frame-Options                   | DENY (Anti-Clickjacking)                                      |</w:t>
              <w:br/>
              <w:t>| X-Content-Type-Options            | nosniff (Anti-MIME Sniffing)                                  |</w:t>
              <w:br/>
              <w:t>| Referrer-Policy                   | strict-origin-when-cross-origin                               |</w:t>
              <w:br/>
              <w:t>| Permissions-Policy                | camera=(), microphone=(), geolocation=(), browsing-topics=()  |</w:t>
              <w:br/>
              <w:t>+-----------------------------------+---------------------------------------------------------------+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10.3 Production Verification Telemetry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 xml:space="preserve">Live probing of the production deployment at </w:t>
      </w:r>
      <w:r>
        <w:rPr>
          <w:rFonts w:ascii="Consolas" w:hAnsi="Consolas"/>
          <w:color w:val="047857"/>
          <w:sz w:val="19"/>
        </w:rPr>
        <w:t>https://topnotch-energy.vercel.app</w:t>
      </w:r>
      <w:r>
        <w:rPr>
          <w:rFonts w:ascii="Calibri" w:hAnsi="Calibri"/>
          <w:color w:val="334155"/>
        </w:rPr>
        <w:t>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HTTP Status:</w:t>
      </w:r>
      <w:r>
        <w:rPr>
          <w:rFonts w:ascii="Calibri" w:hAnsi="Calibri"/>
          <w:color w:val="334155"/>
        </w:rPr>
        <w:t xml:space="preserve"> `200 OK`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Edge Node:</w:t>
      </w:r>
      <w:r>
        <w:rPr>
          <w:rFonts w:ascii="Calibri" w:hAnsi="Calibri"/>
          <w:color w:val="334155"/>
        </w:rPr>
        <w:t xml:space="preserve"> `bom1::29qtv-1792682892724-02ca00bcfe08`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Cache Header:</w:t>
      </w:r>
      <w:r>
        <w:rPr>
          <w:rFonts w:ascii="Calibri" w:hAnsi="Calibri"/>
          <w:color w:val="334155"/>
        </w:rPr>
        <w:t xml:space="preserve"> `X-Vercel-Cache: PRERENDER`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API Health Telemetry:</w:t>
      </w:r>
      <w:r>
        <w:rPr>
          <w:rFonts w:ascii="Calibri" w:hAnsi="Calibri"/>
          <w:color w:val="334155"/>
        </w:rPr>
        <w:t xml:space="preserve"> Verified at `https://topnotch-energy.vercel.app/api/health`</w:t>
      </w:r>
    </w:p>
    <w:p>
      <w:r>
        <w:br w:type="page"/>
      </w:r>
    </w:p>
    <w:p>
      <w:pPr>
        <w:keepNext/>
        <w:spacing w:before="320" w:after="100"/>
      </w:pPr>
      <w:r>
        <w:rPr>
          <w:rFonts w:ascii="Calibri" w:hAnsi="Calibri"/>
          <w:b/>
          <w:color w:val="1C2C34"/>
          <w:sz w:val="28"/>
        </w:rPr>
        <w:t>11. Economic, Environmental &amp; ESG Decarbonization Impact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11.1 Representative 5,000 kVA Industrial Financial Model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Enterprise:</w:t>
      </w:r>
      <w:r>
        <w:rPr>
          <w:rFonts w:ascii="Calibri" w:hAnsi="Calibri"/>
          <w:color w:val="334155"/>
        </w:rPr>
        <w:t xml:space="preserve"> Precision Forging &amp; Metallurgy Manufacturing Unit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Location:</w:t>
      </w:r>
      <w:r>
        <w:rPr>
          <w:rFonts w:ascii="Calibri" w:hAnsi="Calibri"/>
          <w:color w:val="334155"/>
        </w:rPr>
        <w:t xml:space="preserve"> Sahibabad Industrial Area, Ghaziabad, Uttar Pradesh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Contract Demand:</w:t>
      </w:r>
      <w:r>
        <w:rPr>
          <w:rFonts w:ascii="Calibri" w:hAnsi="Calibri"/>
          <w:color w:val="334155"/>
        </w:rPr>
        <w:t xml:space="preserve"> 5,000 kVA (33 kV PVVNL Supply)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Monthly Energy Consumption:</w:t>
      </w:r>
      <w:r>
        <w:rPr>
          <w:rFonts w:ascii="Calibri" w:hAnsi="Calibri"/>
          <w:color w:val="334155"/>
        </w:rPr>
        <w:t xml:space="preserve"> 2,400,000 kWh (2.4 MUs)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+--------------------------------------+---------------------+---------------------+----------------+</w:t>
              <w:br/>
              <w:t>| Cost Parameter                       | DISCOM HV-2 Rate    | Topnotch Group OA   | Net Arbitrage  |</w:t>
              <w:br/>
              <w:t>+--------------------------------------+---------------------+---------------------+----------------+</w:t>
              <w:br/>
              <w:t>| Base Energy Tariff                   | ₹7.40 / kWh         | ₹3.80 / kWh         | ₹3.60 / kWh    |</w:t>
              <w:br/>
              <w:t>| Cross Subsidy Surcharge (CSS)        | N/A                 | ₹0.00 (§42 Exempt)  | ₹2.24 Avoided  |</w:t>
              <w:br/>
              <w:t>| Additional Surcharge (AS)            | N/A                 | ₹0.00 (§42 Exempt)  | ₹0.80 Avoided  |</w:t>
              <w:br/>
              <w:t>| Wheeling &amp; Losses                    | Included            | ₹0.85 / kWh         | (₹0.85)        |</w:t>
              <w:br/>
              <w:t>| Electricity Duty &amp; Surcharges        | ₹0.55 / kWh         | ₹0.40 / kWh         | ₹0.15          |</w:t>
              <w:br/>
              <w:t>| TOTAL EFFECTIVE LANDED COST          | ₹8.95 / kWh         | ₹5.45 / kWh         | ₹3.50 / kWh    |</w:t>
              <w:br/>
              <w:t>+--------------------------------------+---------------------+---------------------+----------------+</w:t>
              <w:br/>
              <w:t>| MONTHLY ELECTRICITY EXPENDITURE      | ₹2,14,80,000        | ₹1,30,80,000        | ₹84,00,000/mo  |</w:t>
              <w:br/>
              <w:t>| ANNUALIZED ELECTRICITY BILL          | ₹25.77 Crore        | ₹15.69 Crore        | ₹10.08 Crore   |</w:t>
              <w:br/>
              <w:t>+--------------------------------------+---------------------+---------------------+----------------+</w:t>
              <w:br/>
              <w:t>| PERCENTAGE ANNUAL COST REDUCTION     | BASELINE (0.0%)     | 39.11% SAVINGS      | 39.11% NET ROI |</w:t>
              <w:br/>
              <w:t>+--------------------------------------+---------------------+---------------------+----------------+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4"/>
        </w:rPr>
        <w:t>11.2 Scope-2 Environmental Greenhouse Gas Abatement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Using the CEA Version 19 baseline factor (</w:t>
      </w:r>
      <w:r>
        <w:rPr>
          <w:rFonts w:ascii="Calibri" w:hAnsi="Calibri"/>
          <w:b/>
          <w:color w:val="1C2C34"/>
        </w:rPr>
        <w:t>0.82 kg \(CO_2\) / kWh</w:t>
      </w:r>
      <w:r>
        <w:rPr>
          <w:rFonts w:ascii="Calibri" w:hAnsi="Calibri"/>
          <w:color w:val="334155"/>
        </w:rPr>
        <w:t>):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$$\text{Monthly Abatement} = 2,400,000 \text{ kWh} \times 0.82 \text{ kg } CO_2e/\text{kWh} = 1,968 \text{ Metric Tons of } CO_2e$$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>$$\text{Annual Scope-2 Abatement} = 23,616 \text{ Metric Tons of } CO_2e / \text{year}$$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i/>
          <w:color w:val="334155"/>
        </w:rPr>
        <w:t>Equivalent to permanently removing 5,130 internal combustion vehicles from Indian national highways.</w:t>
      </w:r>
      <w:r>
        <w:rPr>
          <w:rFonts w:ascii="Calibri" w:hAnsi="Calibri"/>
          <w:color w:val="334155"/>
        </w:rPr>
      </w:r>
    </w:p>
    <w:p>
      <w:r>
        <w:br w:type="page"/>
      </w:r>
    </w:p>
    <w:p>
      <w:pPr>
        <w:keepNext/>
        <w:spacing w:before="320" w:after="100"/>
      </w:pPr>
      <w:r>
        <w:rPr>
          <w:rFonts w:ascii="Calibri" w:hAnsi="Calibri"/>
          <w:b/>
          <w:color w:val="1C2C34"/>
          <w:sz w:val="28"/>
        </w:rPr>
        <w:t>12. Future Roadmap &amp; System Evolution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+----------------------------------------------------------------------------------------------------+</w:t>
              <w:br/>
              <w:t>|                                      THREE-PHASE EVOLUTION ROADMAP                                 |</w:t>
              <w:br/>
              <w:t>+----------------------------------------------------------------------------------------------------+</w:t>
              <w:br/>
              <w:t>|                                                                                                    |</w:t>
              <w:br/>
              <w:t>|  [ PHASE 1: Q1 2027 — BESS &amp; ROUND-THE-CLOCK (RTC) GREEN DISPATCH ]                                |</w:t>
              <w:br/>
              <w:t>|   • Co-located Battery Energy Storage System (BESS) financial and degradation simulation           |</w:t>
              <w:br/>
              <w:t>|   • Round-The-Clock (RTC) continuous green power scheduling eliminating evening peak grid draw    |</w:t>
              <w:br/>
              <w:t>|                                                                                                    |</w:t>
              <w:br/>
              <w:t>|  [ PHASE 2: Q2 2027 — DEEP LEARNING LSTM BOURSE PRICE PREDICTION ]                                 |</w:t>
              <w:br/>
              <w:t>|   • Long Short-Term Memory (LSTM) neural networks trained on 5 years of IEX clearing prices        |</w:t>
              <w:br/>
              <w:t>|   • Automated next-day 96-block price and volume forecasting incorporating weather telemetry      |</w:t>
              <w:br/>
              <w:t>|                                                                                                    |</w:t>
              <w:br/>
              <w:t>|  [ PHASE 3: Q3 2027 — AUTOMATED NOAR &amp; POWER EXCHANGE BIDDING BOTS ]                               |</w:t>
              <w:br/>
              <w:t>|   • Direct machine-to-machine API gateway integration with National Open Access Registry (NOAR)   |</w:t>
              <w:br/>
              <w:t>|   • Algorithmic sub-second bid placement on IEX and PXIL matching plant demand fluctuations        |</w:t>
              <w:br/>
              <w:t>|                                                                                                    |</w:t>
              <w:br/>
              <w:t>+----------------------------------------------------------------------------------------------------+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00"/>
      </w:pPr>
      <w:r>
        <w:rPr>
          <w:rFonts w:ascii="Calibri" w:hAnsi="Calibri"/>
          <w:b/>
          <w:color w:val="1C2C34"/>
          <w:sz w:val="28"/>
        </w:rPr>
        <w:t>13. Conclusion &amp; Project Sign-Off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 xml:space="preserve">The </w:t>
      </w:r>
      <w:r>
        <w:rPr>
          <w:rFonts w:ascii="Calibri" w:hAnsi="Calibri"/>
          <w:b/>
          <w:color w:val="1C2C34"/>
        </w:rPr>
        <w:t>Topnotch Energy Solutions</w:t>
      </w:r>
      <w:r>
        <w:rPr>
          <w:rFonts w:ascii="Calibri" w:hAnsi="Calibri"/>
          <w:color w:val="334155"/>
        </w:rPr>
        <w:t xml:space="preserve"> platform demonstrates the transformative potential of combining modern web architectures (Next.js 16, Turbopack, React 19, TypeScript 5) with rigorous power system engineering and regulatory economics.</w:t>
      </w:r>
    </w:p>
    <w:p>
      <w:pPr>
        <w:spacing w:after="120" w:line="276" w:lineRule="auto"/>
      </w:pPr>
      <w:r>
        <w:rPr>
          <w:rFonts w:ascii="Calibri" w:hAnsi="Calibri"/>
          <w:color w:val="334155"/>
        </w:rPr>
        <w:t xml:space="preserve">By delivering sub-millisecond calculation speeds, zero-cost edge distribution, client-side forensic bill parsing, and comprehensive multi-state regulatory modeling across 34 active routes, the platform empowers Indian industrial enterprises to achieve </w:t>
      </w:r>
      <w:r>
        <w:rPr>
          <w:rFonts w:ascii="Calibri" w:hAnsi="Calibri"/>
          <w:b/>
          <w:color w:val="1C2C34"/>
        </w:rPr>
        <w:t>22% to 38% electricity cost reductions</w:t>
      </w:r>
      <w:r>
        <w:rPr>
          <w:rFonts w:ascii="Calibri" w:hAnsi="Calibri"/>
          <w:color w:val="334155"/>
        </w:rPr>
        <w:t xml:space="preserve"> while fulfilling national decarbonization imperatives.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E2E8F0"/>
              <w:left w:val="single" w:sz="8" w:color="CBD5E1"/>
              <w:bottom w:val="single" w:sz="4" w:color="E2E8F0"/>
              <w:right w:val="single" w:sz="4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C2C34"/>
                <w:sz w:val="17"/>
              </w:rPr>
              <w:t>====================================================================================================</w:t>
              <w:br/>
              <w:t xml:space="preserve">                                      FORMAL SUBMISSION ATTESTATION</w:t>
              <w:br/>
              <w:t>====================================================================================================</w:t>
              <w:br/>
              <w:t>PROJECT REPOSITORY     : https://github.com/raviprateek2-dotcom/TN-Energy</w:t>
              <w:br/>
              <w:t>PRODUCTION URL         : https://topnotch-energy.vercel.app</w:t>
              <w:br/>
              <w:t>TEST STATUS            : 81 of 81 Automated Tests Passed (100% Pass Rate)</w:t>
              <w:br/>
              <w:t>STATIC CODE AUDIT      : 0 TypeScript Errors • 0 ESLint Warnings • 26,739 Lines of Code</w:t>
              <w:br/>
              <w:t>DOCUMENT STATUS        : Official Final Project Analysis Report • Release Candidate v1.0.0</w:t>
              <w:br/>
              <w:t>====================================================================================================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00"/>
      </w:pPr>
      <w:r>
        <w:rPr>
          <w:rFonts w:ascii="Calibri" w:hAnsi="Calibri"/>
          <w:b/>
          <w:color w:val="1C2C34"/>
          <w:sz w:val="28"/>
        </w:rPr>
        <w:t>14. References &amp; Regulatory Authorities Cited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Parliament of India:</w:t>
      </w:r>
      <w:r>
        <w:rPr>
          <w:rFonts w:ascii="Calibri" w:hAnsi="Calibri"/>
          <w:color w:val="334155"/>
        </w:rPr>
        <w:t xml:space="preserve"> *The Electricity Act, 2003* (Act No. 36 of 2003), Sections 9, 38, 39, 42, 61, and 86.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Ministry of Power, Government of India:</w:t>
      </w:r>
      <w:r>
        <w:rPr>
          <w:rFonts w:ascii="Calibri" w:hAnsi="Calibri"/>
          <w:color w:val="334155"/>
        </w:rPr>
        <w:t xml:space="preserve"> *Electricity (Promoting Renewable Energy Through Green Energy Open Access) Rules, 2022* (G.S.R. 418(E)).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Central Electricity Regulatory Commission (CERC):</w:t>
      </w:r>
      <w:r>
        <w:rPr>
          <w:rFonts w:ascii="Calibri" w:hAnsi="Calibri"/>
          <w:color w:val="334155"/>
        </w:rPr>
        <w:t xml:space="preserve"> *Power Market Regulations, 2021* and *Deviation Settlement Mechanism and Related Matters Regulations, 2022*.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National Load Despatch Centre (NLDC / Grid-India):</w:t>
      </w:r>
      <w:r>
        <w:rPr>
          <w:rFonts w:ascii="Calibri" w:hAnsi="Calibri"/>
          <w:color w:val="334155"/>
        </w:rPr>
        <w:t xml:space="preserve"> *Operating Procedure for National Open Access Registry (NOAR)*, New Delhi.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Central Electricity Authority (CEA):</w:t>
      </w:r>
      <w:r>
        <w:rPr>
          <w:rFonts w:ascii="Calibri" w:hAnsi="Calibri"/>
          <w:color w:val="334155"/>
        </w:rPr>
        <w:t xml:space="preserve"> *CO2 Baseline Database for the Indian Power Sector*, Version 19.0, Ministry of Power.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State Electricity Regulatory Commissions (Tariff Orders &amp; Open Access Regulations):</w:t>
      </w:r>
      <w:r>
        <w:rPr>
          <w:rFonts w:ascii="Calibri" w:hAnsi="Calibri"/>
          <w:color w:val="334155"/>
        </w:rPr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*UPERC:* Uttar Pradesh Electricity Regulatory Commission (Terms and Conditions for Open Access) Regulations.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*MERC:* Maharashtra Electricity Regulatory Commission (Distribution Open Access) Regulations.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</w:rPr>
        <w:t>*GERC:* Gujarat Electricity Regulatory Commission (Terms and Conditions of Intra-State Open Access) Regulations.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Bureau of Energy Efficiency (BEE):</w:t>
      </w:r>
      <w:r>
        <w:rPr>
          <w:rFonts w:ascii="Calibri" w:hAnsi="Calibri"/>
          <w:color w:val="334155"/>
        </w:rPr>
        <w:t xml:space="preserve"> *Perform, Achieve and Trade (PAT) Scheme Guidelines for Energy Intensive Designated Consumers*.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334155"/>
        </w:rPr>
      </w:r>
      <w:r>
        <w:rPr>
          <w:rFonts w:ascii="Calibri" w:hAnsi="Calibri"/>
          <w:b/>
          <w:color w:val="1C2C34"/>
        </w:rPr>
        <w:t>Vercel &amp; Next.js Core Team:</w:t>
      </w:r>
      <w:r>
        <w:rPr>
          <w:rFonts w:ascii="Calibri" w:hAnsi="Calibri"/>
          <w:color w:val="334155"/>
        </w:rPr>
        <w:t xml:space="preserve"> *Next.js 16 Documentation: App Router Architecture, Turbopack Compilation, and Partial Prerendering*,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94A3B8"/>
        <w:sz w:val="17"/>
      </w:rPr>
      <w:t>Confidential &amp; Proprietary • Regulated under CERC &amp; Electricity Act 2003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Topnotch Energy Solutions •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