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pPr>
    </w:p>
    <w:p>
      <w:pPr>
        <w:ind w:firstLine="0"/>
      </w:pPr>
    </w:p>
    <w:p>
      <w:pPr>
        <w:ind w:firstLine="0"/>
      </w:pPr>
    </w:p>
    <w:p>
      <w:pPr>
        <w:pStyle w:val="Title"/>
        <w:keepNext w:val="0"/>
      </w:pPr>
      <w:r>
        <w:t>iPhone Sales Analytics Project Report</w:t>
      </w:r>
    </w:p>
    <w:p>
      <w:pPr>
        <w:ind w:firstLine="0"/>
      </w:pPr>
    </w:p>
    <w:p>
      <w:pPr>
        <w:ind w:firstLine="0"/>
        <w:jc w:val="center"/>
      </w:pPr>
      <w:r>
        <w:t>Ravi</w:t>
      </w:r>
    </w:p>
    <w:p>
      <w:pPr>
        <w:ind w:firstLine="0"/>
        <w:jc w:val="center"/>
      </w:pPr>
      <w:r>
        <w:t>October 8, 2026</w:t>
      </w:r>
    </w:p>
    <w:p>
      <w:r>
        <w:br w:type="page"/>
      </w:r>
    </w:p>
    <w:p>
      <w:pPr>
        <w:pStyle w:val="Heading1"/>
      </w:pPr>
      <w:r>
        <w:t>iPhone Sales Analytics Project Report</w:t>
      </w:r>
    </w:p>
    <w:p>
      <w:pPr>
        <w:ind w:firstLine="720"/>
      </w:pPr>
      <w:r>
        <w:t>The completed project turns four CSV files into a small sales warehouse that can be queried in Hive. The supplied data produces four sales records, six units sold and total revenue of 4,400. Product, store, customer and monthly totals agree with that amount. This report explains how the data was processed and presents the actual outputs used to check the result.</w:t>
      </w:r>
    </w:p>
    <w:p>
      <w:pPr>
        <w:pStyle w:val="Heading1"/>
      </w:pPr>
      <w:r>
        <w:t>Project Purpose and Source Data</w:t>
      </w:r>
    </w:p>
    <w:p>
      <w:pPr>
        <w:ind w:firstLine="720"/>
      </w:pPr>
      <w:r>
        <w:t>The aim was to answer practical questions about sales: which products generated revenue, how the two stores compared, when sales occurred and what each customer purchased. HDFS stores the files, PySpark prepares the data, and Hive provides the reporting tables and SQL queries.</w:t>
      </w:r>
    </w:p>
    <w:p>
      <w:pPr>
        <w:keepNext/>
        <w:ind w:firstLine="0"/>
      </w:pPr>
      <w:r>
        <w:rPr>
          <w:b/>
        </w:rPr>
        <w:t>Table 1</w:t>
      </w:r>
    </w:p>
    <w:p>
      <w:pPr>
        <w:keepNext/>
        <w:ind w:firstLine="0"/>
      </w:pPr>
      <w:r>
        <w:rPr>
          <w:i/>
        </w:rPr>
        <w:t>Source Files and Record Counts</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Pr>
      <w:tblGrid>
        <w:gridCol w:w="2448"/>
        <w:gridCol w:w="1152"/>
        <w:gridCol w:w="5760"/>
      </w:tblGrid>
      <w:tr>
        <w:trPr>
          <w:tblHeader/>
        </w:trPr>
        <w:tc>
          <w:tcPr>
            <w:tcW w:type="dxa" w:w="2448"/>
            <w:tcMar>
              <w:top w:w="65" w:type="dxa"/>
              <w:bottom w:w="65" w:type="dxa"/>
              <w:left w:w="65" w:type="dxa"/>
              <w:right w:w="65" w:type="dxa"/>
            </w:tcMar>
            <w:tcBorders>
              <w:bottom w:val="single" w:sz="6" w:color="000000"/>
            </w:tcBorders>
          </w:tcPr>
          <w:p>
            <w:pPr>
              <w:spacing w:line="264" w:lineRule="auto"/>
              <w:ind w:firstLine="0"/>
              <w:jc w:val="left"/>
            </w:pPr>
            <w:r>
              <w:rPr>
                <w:b/>
                <w:sz w:val="24"/>
              </w:rPr>
              <w:t>File</w:t>
            </w:r>
          </w:p>
        </w:tc>
        <w:tc>
          <w:tcPr>
            <w:tcW w:type="dxa" w:w="1152"/>
            <w:tcMar>
              <w:top w:w="65" w:type="dxa"/>
              <w:bottom w:w="65" w:type="dxa"/>
              <w:left w:w="65" w:type="dxa"/>
              <w:right w:w="65" w:type="dxa"/>
            </w:tcMar>
            <w:tcBorders>
              <w:bottom w:val="single" w:sz="6" w:color="000000"/>
            </w:tcBorders>
          </w:tcPr>
          <w:p>
            <w:pPr>
              <w:spacing w:line="264" w:lineRule="auto"/>
              <w:ind w:firstLine="0"/>
              <w:jc w:val="center"/>
            </w:pPr>
            <w:r>
              <w:rPr>
                <w:b/>
                <w:sz w:val="24"/>
              </w:rPr>
              <w:t>Records</w:t>
            </w:r>
          </w:p>
        </w:tc>
        <w:tc>
          <w:tcPr>
            <w:tcW w:type="dxa" w:w="5760"/>
            <w:tcMar>
              <w:top w:w="65" w:type="dxa"/>
              <w:bottom w:w="65" w:type="dxa"/>
              <w:left w:w="65" w:type="dxa"/>
              <w:right w:w="65" w:type="dxa"/>
            </w:tcMar>
            <w:tcBorders>
              <w:bottom w:val="single" w:sz="6" w:color="000000"/>
            </w:tcBorders>
          </w:tcPr>
          <w:p>
            <w:pPr>
              <w:spacing w:line="264" w:lineRule="auto"/>
              <w:ind w:firstLine="0"/>
              <w:jc w:val="center"/>
            </w:pPr>
            <w:r>
              <w:rPr>
                <w:b/>
                <w:sz w:val="24"/>
              </w:rPr>
              <w:t>Content</w:t>
            </w:r>
          </w:p>
        </w:tc>
      </w:tr>
      <w:tr>
        <w:tc>
          <w:tcPr>
            <w:tcW w:type="dxa" w:w="2448"/>
            <w:tcMar>
              <w:top w:w="65" w:type="dxa"/>
              <w:bottom w:w="65" w:type="dxa"/>
              <w:left w:w="65" w:type="dxa"/>
              <w:right w:w="65" w:type="dxa"/>
            </w:tcMar>
          </w:tcPr>
          <w:p>
            <w:pPr>
              <w:spacing w:line="264" w:lineRule="auto"/>
              <w:ind w:firstLine="0"/>
              <w:jc w:val="left"/>
            </w:pPr>
            <w:r>
              <w:rPr>
                <w:b w:val="0"/>
                <w:sz w:val="24"/>
              </w:rPr>
              <w:t>customers.csv</w:t>
            </w:r>
          </w:p>
        </w:tc>
        <w:tc>
          <w:tcPr>
            <w:tcW w:type="dxa" w:w="1152"/>
            <w:tcMar>
              <w:top w:w="65" w:type="dxa"/>
              <w:bottom w:w="65" w:type="dxa"/>
              <w:left w:w="65" w:type="dxa"/>
              <w:right w:w="65" w:type="dxa"/>
            </w:tcMar>
          </w:tcPr>
          <w:p>
            <w:pPr>
              <w:spacing w:line="264" w:lineRule="auto"/>
              <w:ind w:firstLine="0"/>
              <w:jc w:val="center"/>
            </w:pPr>
            <w:r>
              <w:rPr>
                <w:b w:val="0"/>
                <w:sz w:val="24"/>
              </w:rPr>
              <w:t>3</w:t>
            </w:r>
          </w:p>
        </w:tc>
        <w:tc>
          <w:tcPr>
            <w:tcW w:type="dxa" w:w="5760"/>
            <w:tcMar>
              <w:top w:w="65" w:type="dxa"/>
              <w:bottom w:w="65" w:type="dxa"/>
              <w:left w:w="65" w:type="dxa"/>
              <w:right w:w="65" w:type="dxa"/>
            </w:tcMar>
          </w:tcPr>
          <w:p>
            <w:pPr>
              <w:spacing w:line="264" w:lineRule="auto"/>
              <w:ind w:firstLine="0"/>
              <w:jc w:val="center"/>
            </w:pPr>
            <w:r>
              <w:rPr>
                <w:b w:val="0"/>
                <w:sz w:val="24"/>
              </w:rPr>
              <w:t>Customer names and locations</w:t>
            </w:r>
          </w:p>
        </w:tc>
      </w:tr>
      <w:tr>
        <w:tc>
          <w:tcPr>
            <w:tcW w:type="dxa" w:w="2448"/>
            <w:tcMar>
              <w:top w:w="65" w:type="dxa"/>
              <w:bottom w:w="65" w:type="dxa"/>
              <w:left w:w="65" w:type="dxa"/>
              <w:right w:w="65" w:type="dxa"/>
            </w:tcMar>
          </w:tcPr>
          <w:p>
            <w:pPr>
              <w:spacing w:line="264" w:lineRule="auto"/>
              <w:ind w:firstLine="0"/>
              <w:jc w:val="left"/>
            </w:pPr>
            <w:r>
              <w:rPr>
                <w:b w:val="0"/>
                <w:sz w:val="24"/>
              </w:rPr>
              <w:t>products.csv</w:t>
            </w:r>
          </w:p>
        </w:tc>
        <w:tc>
          <w:tcPr>
            <w:tcW w:type="dxa" w:w="1152"/>
            <w:tcMar>
              <w:top w:w="65" w:type="dxa"/>
              <w:bottom w:w="65" w:type="dxa"/>
              <w:left w:w="65" w:type="dxa"/>
              <w:right w:w="65" w:type="dxa"/>
            </w:tcMar>
          </w:tcPr>
          <w:p>
            <w:pPr>
              <w:spacing w:line="264" w:lineRule="auto"/>
              <w:ind w:firstLine="0"/>
              <w:jc w:val="center"/>
            </w:pPr>
            <w:r>
              <w:rPr>
                <w:b w:val="0"/>
                <w:sz w:val="24"/>
              </w:rPr>
              <w:t>3</w:t>
            </w:r>
          </w:p>
        </w:tc>
        <w:tc>
          <w:tcPr>
            <w:tcW w:type="dxa" w:w="5760"/>
            <w:tcMar>
              <w:top w:w="65" w:type="dxa"/>
              <w:bottom w:w="65" w:type="dxa"/>
              <w:left w:w="65" w:type="dxa"/>
              <w:right w:w="65" w:type="dxa"/>
            </w:tcMar>
          </w:tcPr>
          <w:p>
            <w:pPr>
              <w:spacing w:line="264" w:lineRule="auto"/>
              <w:ind w:firstLine="0"/>
              <w:jc w:val="center"/>
            </w:pPr>
            <w:r>
              <w:rPr>
                <w:b w:val="0"/>
                <w:sz w:val="24"/>
              </w:rPr>
              <w:t>Products categories and prices</w:t>
            </w:r>
          </w:p>
        </w:tc>
      </w:tr>
      <w:tr>
        <w:tc>
          <w:tcPr>
            <w:tcW w:type="dxa" w:w="2448"/>
            <w:tcMar>
              <w:top w:w="65" w:type="dxa"/>
              <w:bottom w:w="65" w:type="dxa"/>
              <w:left w:w="65" w:type="dxa"/>
              <w:right w:w="65" w:type="dxa"/>
            </w:tcMar>
          </w:tcPr>
          <w:p>
            <w:pPr>
              <w:spacing w:line="264" w:lineRule="auto"/>
              <w:ind w:firstLine="0"/>
              <w:jc w:val="left"/>
            </w:pPr>
            <w:r>
              <w:rPr>
                <w:b w:val="0"/>
                <w:sz w:val="24"/>
              </w:rPr>
              <w:t>stores.csv</w:t>
            </w:r>
          </w:p>
        </w:tc>
        <w:tc>
          <w:tcPr>
            <w:tcW w:type="dxa" w:w="1152"/>
            <w:tcMar>
              <w:top w:w="65" w:type="dxa"/>
              <w:bottom w:w="65" w:type="dxa"/>
              <w:left w:w="65" w:type="dxa"/>
              <w:right w:w="65" w:type="dxa"/>
            </w:tcMar>
          </w:tcPr>
          <w:p>
            <w:pPr>
              <w:spacing w:line="264" w:lineRule="auto"/>
              <w:ind w:firstLine="0"/>
              <w:jc w:val="center"/>
            </w:pPr>
            <w:r>
              <w:rPr>
                <w:b w:val="0"/>
                <w:sz w:val="24"/>
              </w:rPr>
              <w:t>2</w:t>
            </w:r>
          </w:p>
        </w:tc>
        <w:tc>
          <w:tcPr>
            <w:tcW w:type="dxa" w:w="5760"/>
            <w:tcMar>
              <w:top w:w="65" w:type="dxa"/>
              <w:bottom w:w="65" w:type="dxa"/>
              <w:left w:w="65" w:type="dxa"/>
              <w:right w:w="65" w:type="dxa"/>
            </w:tcMar>
          </w:tcPr>
          <w:p>
            <w:pPr>
              <w:spacing w:line="264" w:lineRule="auto"/>
              <w:ind w:firstLine="0"/>
              <w:jc w:val="center"/>
            </w:pPr>
            <w:r>
              <w:rPr>
                <w:b w:val="0"/>
                <w:sz w:val="24"/>
              </w:rPr>
              <w:t>Store names and locations</w:t>
            </w:r>
          </w:p>
        </w:tc>
      </w:tr>
      <w:tr>
        <w:tc>
          <w:tcPr>
            <w:tcW w:type="dxa" w:w="2448"/>
            <w:tcMar>
              <w:top w:w="65" w:type="dxa"/>
              <w:bottom w:w="65" w:type="dxa"/>
              <w:left w:w="65" w:type="dxa"/>
              <w:right w:w="65" w:type="dxa"/>
            </w:tcMar>
          </w:tcPr>
          <w:p>
            <w:pPr>
              <w:spacing w:line="264" w:lineRule="auto"/>
              <w:ind w:firstLine="0"/>
              <w:jc w:val="left"/>
            </w:pPr>
            <w:r>
              <w:rPr>
                <w:b w:val="0"/>
                <w:sz w:val="24"/>
              </w:rPr>
              <w:t>sales.csv</w:t>
            </w:r>
          </w:p>
        </w:tc>
        <w:tc>
          <w:tcPr>
            <w:tcW w:type="dxa" w:w="1152"/>
            <w:tcMar>
              <w:top w:w="65" w:type="dxa"/>
              <w:bottom w:w="65" w:type="dxa"/>
              <w:left w:w="65" w:type="dxa"/>
              <w:right w:w="65" w:type="dxa"/>
            </w:tcMar>
          </w:tcPr>
          <w:p>
            <w:pPr>
              <w:spacing w:line="264" w:lineRule="auto"/>
              <w:ind w:firstLine="0"/>
              <w:jc w:val="center"/>
            </w:pPr>
            <w:r>
              <w:rPr>
                <w:b w:val="0"/>
                <w:sz w:val="24"/>
              </w:rPr>
              <w:t>4</w:t>
            </w:r>
          </w:p>
        </w:tc>
        <w:tc>
          <w:tcPr>
            <w:tcW w:type="dxa" w:w="5760"/>
            <w:tcMar>
              <w:top w:w="65" w:type="dxa"/>
              <w:bottom w:w="65" w:type="dxa"/>
              <w:left w:w="65" w:type="dxa"/>
              <w:right w:w="65" w:type="dxa"/>
            </w:tcMar>
          </w:tcPr>
          <w:p>
            <w:pPr>
              <w:spacing w:line="264" w:lineRule="auto"/>
              <w:ind w:firstLine="0"/>
              <w:jc w:val="center"/>
            </w:pPr>
            <w:r>
              <w:rPr>
                <w:b w:val="0"/>
                <w:sz w:val="24"/>
              </w:rPr>
              <w:t>Sales dates and quantities</w:t>
            </w:r>
          </w:p>
        </w:tc>
      </w:tr>
    </w:tbl>
    <w:p>
      <w:pPr>
        <w:spacing w:line="240" w:lineRule="auto"/>
        <w:ind w:firstLine="0"/>
      </w:pPr>
    </w:p>
    <w:p>
      <w:pPr>
        <w:ind w:firstLine="720"/>
      </w:pPr>
      <w:r>
        <w:t>The sample contains iPhone 13, iPhone 14 and AirPods sales. AirPods is retained because it is included in the assignment data. Prices have no stated currency, so the report uses the supplied numeric price units without assigning a currency symbol.</w:t>
      </w:r>
    </w:p>
    <w:p>
      <w:r>
        <w:br w:type="page"/>
      </w:r>
    </w:p>
    <w:p>
      <w:pPr>
        <w:pStyle w:val="Heading1"/>
      </w:pPr>
      <w:r>
        <w:t>Data Preparation and Warehouse Design</w:t>
      </w:r>
    </w:p>
    <w:p>
      <w:pPr>
        <w:ind w:firstLine="720"/>
      </w:pPr>
      <w:r>
        <w:t>The pipeline follows Bronze, Silver and Gold stages. Bronze preserves the source fields as strings in four Parquet tables. This keeps a copy of the incoming values before cleaning and makes it possible to compare the later results with the original records.</w:t>
      </w:r>
    </w:p>
    <w:p>
      <w:pPr>
        <w:ind w:firstLine="720"/>
      </w:pPr>
      <w:r>
        <w:t>Silver trims text, converts identifiers and quantities to integers, parses sale dates and normalizes state abbreviations. The code removes null or invalid records and exact duplicates. It also rejects conflicting identifiers and unmatched sales references. The supplied records are valid, so all four sales remain. Separate malformed-input tests were not performed for this submission.</w:t>
      </w:r>
    </w:p>
    <w:p>
      <w:pPr>
        <w:ind w:firstLine="720"/>
      </w:pPr>
      <w:r>
        <w:t>Gold contains fact_sales and four dimensions: dim_customer, dim_product, dim_store and dim_date. Each fact row represents one sale record. Product prices join to sales through product_id, and total_amount is quantity multiplied by unit_price. The date dimension contains the four observed sales dates, with year, month and day attributes.</w:t>
      </w:r>
    </w:p>
    <w:p>
      <w:pPr>
        <w:ind w:firstLine="720"/>
      </w:pPr>
      <w:r>
        <w:t>Parquet is a column-oriented format with compression and encoding support (Apache Software Foundation, n.d.). It is suitable for analytical storage, although this project does not include a timed comparison with CSV. Silver sales is partitioned by sale_date, and fact sales is partitioned by date_key. Date filters can limit which partitions a query needs to read.</w:t>
      </w:r>
    </w:p>
    <w:p>
      <w:pPr>
        <w:ind w:firstLine="720"/>
      </w:pPr>
      <w:r>
        <w:t>The project runs in the existing takeo-de-env Docker course container with Hadoop 3.3.3, Hive 3.1.3, Spark 3.3.2 and Java 8. Spark runs locally while using real HDFS storage and the Hive metastore. The existing Linux account is takeo; Ravi is stored separately as the project student name.</w:t>
      </w:r>
    </w:p>
    <w:p>
      <w:r>
        <w:br w:type="page"/>
      </w:r>
    </w:p>
    <w:p>
      <w:pPr>
        <w:pStyle w:val="Heading1"/>
      </w:pPr>
      <w:r>
        <w:t>Database and Project Identification</w:t>
      </w:r>
    </w:p>
    <w:p>
      <w:pPr>
        <w:ind w:firstLine="720"/>
      </w:pPr>
      <w:r>
        <w:t>The database iphone_analytics contains 13 tables: four Bronze tables, four Silver tables, four dimensions and one fact table. Figure 1 shows the database and complete table listing. Figure 2 confirms that Ravi is saved in the database and table properties.</w:t>
      </w:r>
    </w:p>
    <w:p>
      <w:pPr>
        <w:keepNext/>
        <w:ind w:firstLine="0"/>
      </w:pPr>
      <w:r>
        <w:rPr>
          <w:b/>
        </w:rPr>
        <w:t>Figure 1</w:t>
      </w:r>
    </w:p>
    <w:p>
      <w:pPr>
        <w:keepNext/>
        <w:ind w:firstLine="0"/>
      </w:pPr>
      <w:r>
        <w:rPr>
          <w:i/>
        </w:rPr>
        <w:t>Database and Warehouse Tables</w:t>
      </w:r>
    </w:p>
    <w:p>
      <w:pPr>
        <w:keepNext/>
        <w:spacing w:line="240" w:lineRule="auto"/>
        <w:ind w:firstLine="0"/>
      </w:pPr>
      <w:r>
        <w:drawing>
          <wp:inline xmlns:a="http://schemas.openxmlformats.org/drawingml/2006/main" xmlns:pic="http://schemas.openxmlformats.org/drawingml/2006/picture">
            <wp:extent cx="5943600" cy="2496381"/>
            <wp:docPr id="1" name="Picture 1" descr="Database and Warehouse Tables Actual console capture from the project."/>
            <wp:cNvGraphicFramePr>
              <a:graphicFrameLocks noChangeAspect="1"/>
            </wp:cNvGraphicFramePr>
            <a:graphic>
              <a:graphicData uri="http://schemas.openxmlformats.org/drawingml/2006/picture">
                <pic:pic>
                  <pic:nvPicPr>
                    <pic:cNvPr id="0" name="1.png"/>
                    <pic:cNvPicPr/>
                  </pic:nvPicPr>
                  <pic:blipFill>
                    <a:blip r:embed="rId10"/>
                    <a:stretch>
                      <a:fillRect/>
                    </a:stretch>
                  </pic:blipFill>
                  <pic:spPr>
                    <a:xfrm>
                      <a:off x="0" y="0"/>
                      <a:ext cx="5943600" cy="2496381"/>
                    </a:xfrm>
                    <a:prstGeom prst="rect"/>
                  </pic:spPr>
                </pic:pic>
              </a:graphicData>
            </a:graphic>
          </wp:inline>
        </w:drawing>
      </w:r>
    </w:p>
    <w:p>
      <w:pPr>
        <w:spacing w:line="240" w:lineRule="auto" w:after="240"/>
        <w:ind w:firstLine="0"/>
      </w:pPr>
      <w:r>
        <w:rPr>
          <w:sz w:val="22"/>
        </w:rPr>
        <w:t>Note. The SHOW DATABASES and SHOW TABLES results identify the completed warehouse.</w:t>
      </w:r>
    </w:p>
    <w:p>
      <w:pPr>
        <w:keepNext/>
        <w:ind w:firstLine="0"/>
      </w:pPr>
      <w:r>
        <w:rPr>
          <w:b/>
        </w:rPr>
        <w:t>Figure 2</w:t>
      </w:r>
    </w:p>
    <w:p>
      <w:pPr>
        <w:keepNext/>
        <w:ind w:firstLine="0"/>
      </w:pPr>
      <w:r>
        <w:rPr>
          <w:i/>
        </w:rPr>
        <w:t>Project Name Stored in Hive</w:t>
      </w:r>
    </w:p>
    <w:p>
      <w:pPr>
        <w:keepNext/>
        <w:spacing w:line="240" w:lineRule="auto"/>
        <w:ind w:firstLine="0"/>
      </w:pPr>
      <w:r>
        <w:drawing>
          <wp:inline xmlns:a="http://schemas.openxmlformats.org/drawingml/2006/main" xmlns:pic="http://schemas.openxmlformats.org/drawingml/2006/picture">
            <wp:extent cx="5943600" cy="2081470"/>
            <wp:docPr id="2" name="Picture 2" descr="Project Name Stored in Hive Actual console capture from the project."/>
            <wp:cNvGraphicFramePr>
              <a:graphicFrameLocks noChangeAspect="1"/>
            </wp:cNvGraphicFramePr>
            <a:graphic>
              <a:graphicData uri="http://schemas.openxmlformats.org/drawingml/2006/picture">
                <pic:pic>
                  <pic:nvPicPr>
                    <pic:cNvPr id="0" name="12.png"/>
                    <pic:cNvPicPr/>
                  </pic:nvPicPr>
                  <pic:blipFill>
                    <a:blip r:embed="rId11"/>
                    <a:stretch>
                      <a:fillRect/>
                    </a:stretch>
                  </pic:blipFill>
                  <pic:spPr>
                    <a:xfrm>
                      <a:off x="0" y="0"/>
                      <a:ext cx="5943600" cy="2081470"/>
                    </a:xfrm>
                    <a:prstGeom prst="rect"/>
                  </pic:spPr>
                </pic:pic>
              </a:graphicData>
            </a:graphic>
          </wp:inline>
        </w:drawing>
      </w:r>
    </w:p>
    <w:p>
      <w:pPr>
        <w:spacing w:line="240" w:lineRule="auto" w:after="240"/>
        <w:ind w:firstLine="0"/>
      </w:pPr>
      <w:r>
        <w:rPr>
          <w:sz w:val="22"/>
        </w:rPr>
        <w:t>Note. The database properties and fact table properties contain the student name Ravi.</w:t>
      </w:r>
    </w:p>
    <w:p>
      <w:r>
        <w:br w:type="page"/>
      </w:r>
    </w:p>
    <w:p>
      <w:pPr>
        <w:pStyle w:val="Heading1"/>
      </w:pPr>
      <w:r>
        <w:t>Silver Sales Schema</w:t>
      </w:r>
    </w:p>
    <w:p>
      <w:pPr>
        <w:ind w:firstLine="720"/>
      </w:pPr>
      <w:r>
        <w:t>The Silver sales table contains integer sale, product, customer and store identifiers, an integer quantity, and a DATE partition named sale_date. Figure 3 shows its HDFS location and Parquet storage classes. The table has four partitions.</w:t>
      </w:r>
    </w:p>
    <w:p>
      <w:pPr>
        <w:keepNext/>
        <w:ind w:firstLine="0"/>
      </w:pPr>
      <w:r>
        <w:rPr>
          <w:b/>
        </w:rPr>
        <w:t>Figure 3</w:t>
      </w:r>
    </w:p>
    <w:p>
      <w:pPr>
        <w:keepNext/>
        <w:ind w:firstLine="0"/>
      </w:pPr>
      <w:r>
        <w:rPr>
          <w:i/>
        </w:rPr>
        <w:t>Silver Sales Table Definition</w:t>
      </w:r>
    </w:p>
    <w:p>
      <w:pPr>
        <w:keepNext/>
        <w:spacing w:line="240" w:lineRule="auto"/>
        <w:ind w:firstLine="0"/>
      </w:pPr>
      <w:r>
        <w:drawing>
          <wp:inline xmlns:a="http://schemas.openxmlformats.org/drawingml/2006/main" xmlns:pic="http://schemas.openxmlformats.org/drawingml/2006/picture">
            <wp:extent cx="5943600" cy="3481795"/>
            <wp:docPr id="3" name="Picture 3" descr="Silver Sales Table Definition Actual console capture from the project."/>
            <wp:cNvGraphicFramePr>
              <a:graphicFrameLocks noChangeAspect="1"/>
            </wp:cNvGraphicFramePr>
            <a:graphic>
              <a:graphicData uri="http://schemas.openxmlformats.org/drawingml/2006/picture">
                <pic:pic>
                  <pic:nvPicPr>
                    <pic:cNvPr id="0" name="2.png"/>
                    <pic:cNvPicPr/>
                  </pic:nvPicPr>
                  <pic:blipFill>
                    <a:blip r:embed="rId12"/>
                    <a:stretch>
                      <a:fillRect/>
                    </a:stretch>
                  </pic:blipFill>
                  <pic:spPr>
                    <a:xfrm>
                      <a:off x="0" y="0"/>
                      <a:ext cx="5943600" cy="3481795"/>
                    </a:xfrm>
                    <a:prstGeom prst="rect"/>
                  </pic:spPr>
                </pic:pic>
              </a:graphicData>
            </a:graphic>
          </wp:inline>
        </w:drawing>
      </w:r>
    </w:p>
    <w:p>
      <w:pPr>
        <w:spacing w:line="240" w:lineRule="auto" w:after="240"/>
        <w:ind w:firstLine="0"/>
      </w:pPr>
      <w:r>
        <w:rPr>
          <w:sz w:val="22"/>
        </w:rPr>
        <w:t>Note. The actual DESCRIBE FORMATTED output shows an external Parquet table and the stored project properties. The numRows statistic is not populated; the COUNT queries later in the report establish the row count.</w:t>
      </w:r>
    </w:p>
    <w:p>
      <w:pPr>
        <w:ind w:firstLine="720"/>
      </w:pPr>
      <w:r>
        <w:t>The tables use explicit external HDFS locations rather than the managed-table default in the reference example. The warehouse directory name includes managed, but Hive correctly reports EXTERNAL_TABLE. The table names, data and required storage locations remain consistent with the project.</w:t>
      </w:r>
    </w:p>
    <w:p>
      <w:r>
        <w:br w:type="page"/>
      </w:r>
    </w:p>
    <w:p>
      <w:pPr>
        <w:pStyle w:val="Heading1"/>
      </w:pPr>
      <w:r>
        <w:t>Fact Sales Schema</w:t>
      </w:r>
    </w:p>
    <w:p>
      <w:pPr>
        <w:ind w:firstLine="720"/>
      </w:pPr>
      <w:r>
        <w:t>The fact stores sale_id, customer_id, product_id, store_id, quantity and total_amount, and uses date_key as its DATE partition. Figure 4 confirms Parquet storage and the fact table location in HDFS.</w:t>
      </w:r>
    </w:p>
    <w:p>
      <w:pPr>
        <w:keepNext/>
        <w:ind w:firstLine="0"/>
      </w:pPr>
      <w:r>
        <w:rPr>
          <w:b/>
        </w:rPr>
        <w:t>Figure 4</w:t>
      </w:r>
    </w:p>
    <w:p>
      <w:pPr>
        <w:keepNext/>
        <w:ind w:firstLine="0"/>
      </w:pPr>
      <w:r>
        <w:rPr>
          <w:i/>
        </w:rPr>
        <w:t>Fact Sales Table Definition</w:t>
      </w:r>
    </w:p>
    <w:p>
      <w:pPr>
        <w:keepNext/>
        <w:spacing w:line="240" w:lineRule="auto"/>
        <w:ind w:firstLine="0"/>
      </w:pPr>
      <w:r>
        <w:drawing>
          <wp:inline xmlns:a="http://schemas.openxmlformats.org/drawingml/2006/main" xmlns:pic="http://schemas.openxmlformats.org/drawingml/2006/picture">
            <wp:extent cx="5943600" cy="3481795"/>
            <wp:docPr id="4" name="Picture 4" descr="Fact Sales Table Definition Actual console capture from the project."/>
            <wp:cNvGraphicFramePr>
              <a:graphicFrameLocks noChangeAspect="1"/>
            </wp:cNvGraphicFramePr>
            <a:graphic>
              <a:graphicData uri="http://schemas.openxmlformats.org/drawingml/2006/picture">
                <pic:pic>
                  <pic:nvPicPr>
                    <pic:cNvPr id="0" name="3.png"/>
                    <pic:cNvPicPr/>
                  </pic:nvPicPr>
                  <pic:blipFill>
                    <a:blip r:embed="rId13"/>
                    <a:stretch>
                      <a:fillRect/>
                    </a:stretch>
                  </pic:blipFill>
                  <pic:spPr>
                    <a:xfrm>
                      <a:off x="0" y="0"/>
                      <a:ext cx="5943600" cy="3481795"/>
                    </a:xfrm>
                    <a:prstGeom prst="rect"/>
                  </pic:spPr>
                </pic:pic>
              </a:graphicData>
            </a:graphic>
          </wp:inline>
        </w:drawing>
      </w:r>
    </w:p>
    <w:p>
      <w:pPr>
        <w:spacing w:line="240" w:lineRule="auto" w:after="240"/>
        <w:ind w:firstLine="0"/>
      </w:pPr>
      <w:r>
        <w:rPr>
          <w:sz w:val="22"/>
        </w:rPr>
        <w:t>Note. total_amount is BIGINT. date_key is declared once as a typed partition column.</w:t>
      </w:r>
    </w:p>
    <w:p>
      <w:pPr>
        <w:ind w:firstLine="720"/>
      </w:pPr>
      <w:r>
        <w:t>The amount uses BIGINT instead of the reference example's INT. Both quantity and price are cast to long before multiplication to reduce the risk of integer overflow. The reference partition definition was also corrected so date_key is not duplicated and has a DATE type.</w:t>
      </w:r>
    </w:p>
    <w:p>
      <w:r>
        <w:br w:type="page"/>
      </w:r>
    </w:p>
    <w:p>
      <w:pPr>
        <w:pStyle w:val="Heading1"/>
      </w:pPr>
      <w:r>
        <w:t>HDFS Storage and Date Partitions</w:t>
      </w:r>
    </w:p>
    <w:p>
      <w:pPr>
        <w:ind w:firstLine="720"/>
      </w:pPr>
      <w:r>
        <w:t>Figure 5 shows the warehouse directories, including bronze_sales, silver_sales, fact_sales and dim_product. The HDFS project information file also contains Ravi's name. Figure 6 confirms matching partitions for January 10, 12, 15 and 20, 2023.</w:t>
      </w:r>
    </w:p>
    <w:p>
      <w:pPr>
        <w:keepNext/>
        <w:ind w:firstLine="0"/>
      </w:pPr>
      <w:r>
        <w:rPr>
          <w:b/>
        </w:rPr>
        <w:t>Figure 5</w:t>
      </w:r>
    </w:p>
    <w:p>
      <w:pPr>
        <w:keepNext/>
        <w:ind w:firstLine="0"/>
      </w:pPr>
      <w:r>
        <w:rPr>
          <w:i/>
        </w:rPr>
        <w:t>HDFS Warehouse Directories</w:t>
      </w:r>
    </w:p>
    <w:p>
      <w:pPr>
        <w:keepNext/>
        <w:spacing w:line="240" w:lineRule="auto"/>
        <w:ind w:firstLine="0"/>
      </w:pPr>
      <w:r>
        <w:drawing>
          <wp:inline xmlns:a="http://schemas.openxmlformats.org/drawingml/2006/main" xmlns:pic="http://schemas.openxmlformats.org/drawingml/2006/picture">
            <wp:extent cx="5943600" cy="1925879"/>
            <wp:docPr id="5" name="Picture 5" descr="HDFS Warehouse Directories Actual console capture from the project."/>
            <wp:cNvGraphicFramePr>
              <a:graphicFrameLocks noChangeAspect="1"/>
            </wp:cNvGraphicFramePr>
            <a:graphic>
              <a:graphicData uri="http://schemas.openxmlformats.org/drawingml/2006/picture">
                <pic:pic>
                  <pic:nvPicPr>
                    <pic:cNvPr id="0" name="4.png"/>
                    <pic:cNvPicPr/>
                  </pic:nvPicPr>
                  <pic:blipFill>
                    <a:blip r:embed="rId14"/>
                    <a:stretch>
                      <a:fillRect/>
                    </a:stretch>
                  </pic:blipFill>
                  <pic:spPr>
                    <a:xfrm>
                      <a:off x="0" y="0"/>
                      <a:ext cx="5943600" cy="1925879"/>
                    </a:xfrm>
                    <a:prstGeom prst="rect"/>
                  </pic:spPr>
                </pic:pic>
              </a:graphicData>
            </a:graphic>
          </wp:inline>
        </w:drawing>
      </w:r>
    </w:p>
    <w:p>
      <w:pPr>
        <w:spacing w:line="240" w:lineRule="auto" w:after="240"/>
        <w:ind w:firstLine="0"/>
      </w:pPr>
      <w:r>
        <w:rPr>
          <w:sz w:val="22"/>
        </w:rPr>
        <w:t>Note. The listing shows the physical directories for all 13 warehouse tables.</w:t>
      </w:r>
    </w:p>
    <w:p>
      <w:pPr>
        <w:keepNext/>
        <w:ind w:firstLine="0"/>
      </w:pPr>
      <w:r>
        <w:rPr>
          <w:b/>
        </w:rPr>
        <w:t>Figure 6</w:t>
      </w:r>
    </w:p>
    <w:p>
      <w:pPr>
        <w:keepNext/>
        <w:ind w:firstLine="0"/>
      </w:pPr>
      <w:r>
        <w:rPr>
          <w:i/>
        </w:rPr>
        <w:t>Silver and Fact Date Partitions</w:t>
      </w:r>
    </w:p>
    <w:p>
      <w:pPr>
        <w:keepNext/>
        <w:spacing w:line="240" w:lineRule="auto"/>
        <w:ind w:firstLine="0"/>
      </w:pPr>
      <w:r>
        <w:drawing>
          <wp:inline xmlns:a="http://schemas.openxmlformats.org/drawingml/2006/main" xmlns:pic="http://schemas.openxmlformats.org/drawingml/2006/picture">
            <wp:extent cx="5943600" cy="2029606"/>
            <wp:docPr id="6" name="Picture 6" descr="Silver and Fact Date Partitions Actual console capture from the project."/>
            <wp:cNvGraphicFramePr>
              <a:graphicFrameLocks noChangeAspect="1"/>
            </wp:cNvGraphicFramePr>
            <a:graphic>
              <a:graphicData uri="http://schemas.openxmlformats.org/drawingml/2006/picture">
                <pic:pic>
                  <pic:nvPicPr>
                    <pic:cNvPr id="0" name="5.png"/>
                    <pic:cNvPicPr/>
                  </pic:nvPicPr>
                  <pic:blipFill>
                    <a:blip r:embed="rId15"/>
                    <a:stretch>
                      <a:fillRect/>
                    </a:stretch>
                  </pic:blipFill>
                  <pic:spPr>
                    <a:xfrm>
                      <a:off x="0" y="0"/>
                      <a:ext cx="5943600" cy="2029606"/>
                    </a:xfrm>
                    <a:prstGeom prst="rect"/>
                  </pic:spPr>
                </pic:pic>
              </a:graphicData>
            </a:graphic>
          </wp:inline>
        </w:drawing>
      </w:r>
    </w:p>
    <w:p>
      <w:pPr>
        <w:spacing w:line="240" w:lineRule="auto" w:after="240"/>
        <w:ind w:firstLine="0"/>
      </w:pPr>
      <w:r>
        <w:rPr>
          <w:sz w:val="22"/>
        </w:rPr>
        <w:t>Note. Silver uses sale_date and the fact uses date_key. Both have the same four dates.</w:t>
      </w:r>
    </w:p>
    <w:p>
      <w:r>
        <w:br w:type="page"/>
      </w:r>
    </w:p>
    <w:p>
      <w:pPr>
        <w:pStyle w:val="Heading1"/>
      </w:pPr>
      <w:r>
        <w:t>Row Counts and Silver Sample</w:t>
      </w:r>
    </w:p>
    <w:p>
      <w:pPr>
        <w:ind w:firstLine="720"/>
      </w:pPr>
      <w:r>
        <w:t>The count check returns four rows in bronze_sales, four in silver_sales and four in fact_sales (Figure 7). This agrees with the four supplied sales records. No valid sale is lost during cleaning or dimension joins.</w:t>
      </w:r>
    </w:p>
    <w:p>
      <w:pPr>
        <w:keepNext/>
        <w:ind w:firstLine="0"/>
      </w:pPr>
      <w:r>
        <w:rPr>
          <w:b/>
        </w:rPr>
        <w:t>Figure 7</w:t>
      </w:r>
    </w:p>
    <w:p>
      <w:pPr>
        <w:keepNext/>
        <w:ind w:firstLine="0"/>
      </w:pPr>
      <w:r>
        <w:rPr>
          <w:i/>
        </w:rPr>
        <w:t>Sales Record Counts Across the Three Layers</w:t>
      </w:r>
    </w:p>
    <w:p>
      <w:pPr>
        <w:keepNext/>
        <w:spacing w:line="240" w:lineRule="auto"/>
        <w:ind w:firstLine="0"/>
      </w:pPr>
      <w:r>
        <w:drawing>
          <wp:inline xmlns:a="http://schemas.openxmlformats.org/drawingml/2006/main" xmlns:pic="http://schemas.openxmlformats.org/drawingml/2006/picture">
            <wp:extent cx="5943600" cy="2029606"/>
            <wp:docPr id="7" name="Picture 7" descr="Sales Record Counts Across the Three Layers Actual console capture from the project."/>
            <wp:cNvGraphicFramePr>
              <a:graphicFrameLocks noChangeAspect="1"/>
            </wp:cNvGraphicFramePr>
            <a:graphic>
              <a:graphicData uri="http://schemas.openxmlformats.org/drawingml/2006/picture">
                <pic:pic>
                  <pic:nvPicPr>
                    <pic:cNvPr id="0" name="8.png"/>
                    <pic:cNvPicPr/>
                  </pic:nvPicPr>
                  <pic:blipFill>
                    <a:blip r:embed="rId16"/>
                    <a:stretch>
                      <a:fillRect/>
                    </a:stretch>
                  </pic:blipFill>
                  <pic:spPr>
                    <a:xfrm>
                      <a:off x="0" y="0"/>
                      <a:ext cx="5943600" cy="2029606"/>
                    </a:xfrm>
                    <a:prstGeom prst="rect"/>
                  </pic:spPr>
                </pic:pic>
              </a:graphicData>
            </a:graphic>
          </wp:inline>
        </w:drawing>
      </w:r>
    </w:p>
    <w:p>
      <w:pPr>
        <w:spacing w:line="240" w:lineRule="auto" w:after="240"/>
        <w:ind w:firstLine="0"/>
      </w:pPr>
      <w:r>
        <w:rPr>
          <w:sz w:val="22"/>
        </w:rPr>
        <w:t>Note. Each COUNT query returns 4.</w:t>
      </w:r>
    </w:p>
    <w:p>
      <w:pPr>
        <w:ind w:firstLine="720"/>
      </w:pPr>
      <w:r>
        <w:t>The Silver sample in Figure 8 preserves the sale identifiers, dimension references, quantities and dates. LIMIT 10 returns only four rows because the table contains four records.</w:t>
      </w:r>
    </w:p>
    <w:p>
      <w:pPr>
        <w:keepNext/>
        <w:ind w:firstLine="0"/>
      </w:pPr>
      <w:r>
        <w:rPr>
          <w:b/>
        </w:rPr>
        <w:t>Figure 8</w:t>
      </w:r>
    </w:p>
    <w:p>
      <w:pPr>
        <w:keepNext/>
        <w:ind w:firstLine="0"/>
      </w:pPr>
      <w:r>
        <w:rPr>
          <w:i/>
        </w:rPr>
        <w:t>Cleaned Sales Records</w:t>
      </w:r>
    </w:p>
    <w:p>
      <w:pPr>
        <w:keepNext/>
        <w:spacing w:line="240" w:lineRule="auto"/>
        <w:ind w:firstLine="0"/>
      </w:pPr>
      <w:r>
        <w:drawing>
          <wp:inline xmlns:a="http://schemas.openxmlformats.org/drawingml/2006/main" xmlns:pic="http://schemas.openxmlformats.org/drawingml/2006/picture">
            <wp:extent cx="5943600" cy="1562831"/>
            <wp:docPr id="8" name="Picture 8" descr="Cleaned Sales Records Actual console capture from the project."/>
            <wp:cNvGraphicFramePr>
              <a:graphicFrameLocks noChangeAspect="1"/>
            </wp:cNvGraphicFramePr>
            <a:graphic>
              <a:graphicData uri="http://schemas.openxmlformats.org/drawingml/2006/picture">
                <pic:pic>
                  <pic:nvPicPr>
                    <pic:cNvPr id="0" name="9.png"/>
                    <pic:cNvPicPr/>
                  </pic:nvPicPr>
                  <pic:blipFill>
                    <a:blip r:embed="rId17"/>
                    <a:stretch>
                      <a:fillRect/>
                    </a:stretch>
                  </pic:blipFill>
                  <pic:spPr>
                    <a:xfrm>
                      <a:off x="0" y="0"/>
                      <a:ext cx="5943600" cy="1562831"/>
                    </a:xfrm>
                    <a:prstGeom prst="rect"/>
                  </pic:spPr>
                </pic:pic>
              </a:graphicData>
            </a:graphic>
          </wp:inline>
        </w:drawing>
      </w:r>
    </w:p>
    <w:p>
      <w:pPr>
        <w:spacing w:line="240" w:lineRule="auto" w:after="240"/>
        <w:ind w:firstLine="0"/>
      </w:pPr>
      <w:r>
        <w:rPr>
          <w:sz w:val="22"/>
        </w:rPr>
        <w:t>Note. The Silver sample matches the supplied valid sales data.</w:t>
      </w:r>
    </w:p>
    <w:p>
      <w:r>
        <w:br w:type="page"/>
      </w:r>
    </w:p>
    <w:p>
      <w:pPr>
        <w:pStyle w:val="Heading1"/>
      </w:pPr>
      <w:r>
        <w:t>Fact Records and Revenue Calculation</w:t>
      </w:r>
    </w:p>
    <w:p>
      <w:pPr>
        <w:ind w:firstLine="720"/>
      </w:pPr>
      <w:r>
        <w:t>Table 2 presents the fact values in a readable form. Sale 2 contributes 2,200 because two iPhone 14 units are sold at a unit price of 1,100. Sale 4 contributes 400 from two AirPods units priced at 200 each. Figure 9 shows the corresponding Hive output.</w:t>
      </w:r>
    </w:p>
    <w:p>
      <w:pPr>
        <w:keepNext/>
        <w:ind w:firstLine="0"/>
      </w:pPr>
      <w:r>
        <w:rPr>
          <w:b/>
        </w:rPr>
        <w:t>Table 2</w:t>
      </w:r>
    </w:p>
    <w:p>
      <w:pPr>
        <w:keepNext/>
        <w:ind w:firstLine="0"/>
      </w:pPr>
      <w:r>
        <w:rPr>
          <w:i/>
        </w:rPr>
        <w:t>Fact Sales Records</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Pr>
      <w:tblGrid>
        <w:gridCol w:w="648"/>
        <w:gridCol w:w="1152"/>
        <w:gridCol w:w="1008"/>
        <w:gridCol w:w="792"/>
        <w:gridCol w:w="720"/>
        <w:gridCol w:w="1152"/>
        <w:gridCol w:w="2448"/>
      </w:tblGrid>
      <w:tr>
        <w:trPr>
          <w:tblHeader/>
        </w:trPr>
        <w:tc>
          <w:tcPr>
            <w:tcW w:type="dxa" w:w="648"/>
            <w:tcMar>
              <w:top w:w="65" w:type="dxa"/>
              <w:bottom w:w="65" w:type="dxa"/>
              <w:left w:w="65" w:type="dxa"/>
              <w:right w:w="65" w:type="dxa"/>
            </w:tcMar>
            <w:tcBorders>
              <w:bottom w:val="single" w:sz="6" w:color="000000"/>
            </w:tcBorders>
          </w:tcPr>
          <w:p>
            <w:pPr>
              <w:spacing w:line="264" w:lineRule="auto"/>
              <w:ind w:firstLine="0"/>
              <w:jc w:val="left"/>
            </w:pPr>
            <w:r>
              <w:rPr>
                <w:b/>
                <w:sz w:val="24"/>
              </w:rPr>
              <w:t>Sale</w:t>
            </w:r>
          </w:p>
        </w:tc>
        <w:tc>
          <w:tcPr>
            <w:tcW w:type="dxa" w:w="1152"/>
            <w:tcMar>
              <w:top w:w="65" w:type="dxa"/>
              <w:bottom w:w="65" w:type="dxa"/>
              <w:left w:w="65" w:type="dxa"/>
              <w:right w:w="65" w:type="dxa"/>
            </w:tcMar>
            <w:tcBorders>
              <w:bottom w:val="single" w:sz="6" w:color="000000"/>
            </w:tcBorders>
          </w:tcPr>
          <w:p>
            <w:pPr>
              <w:spacing w:line="264" w:lineRule="auto"/>
              <w:ind w:firstLine="0"/>
              <w:jc w:val="center"/>
            </w:pPr>
            <w:r>
              <w:rPr>
                <w:b/>
                <w:sz w:val="24"/>
              </w:rPr>
              <w:t>Customer</w:t>
            </w:r>
          </w:p>
        </w:tc>
        <w:tc>
          <w:tcPr>
            <w:tcW w:type="dxa" w:w="1008"/>
            <w:tcMar>
              <w:top w:w="65" w:type="dxa"/>
              <w:bottom w:w="65" w:type="dxa"/>
              <w:left w:w="65" w:type="dxa"/>
              <w:right w:w="65" w:type="dxa"/>
            </w:tcMar>
            <w:tcBorders>
              <w:bottom w:val="single" w:sz="6" w:color="000000"/>
            </w:tcBorders>
          </w:tcPr>
          <w:p>
            <w:pPr>
              <w:spacing w:line="264" w:lineRule="auto"/>
              <w:ind w:firstLine="0"/>
              <w:jc w:val="center"/>
            </w:pPr>
            <w:r>
              <w:rPr>
                <w:b/>
                <w:sz w:val="24"/>
              </w:rPr>
              <w:t>Product</w:t>
            </w:r>
          </w:p>
        </w:tc>
        <w:tc>
          <w:tcPr>
            <w:tcW w:type="dxa" w:w="792"/>
            <w:tcMar>
              <w:top w:w="65" w:type="dxa"/>
              <w:bottom w:w="65" w:type="dxa"/>
              <w:left w:w="65" w:type="dxa"/>
              <w:right w:w="65" w:type="dxa"/>
            </w:tcMar>
            <w:tcBorders>
              <w:bottom w:val="single" w:sz="6" w:color="000000"/>
            </w:tcBorders>
          </w:tcPr>
          <w:p>
            <w:pPr>
              <w:spacing w:line="264" w:lineRule="auto"/>
              <w:ind w:firstLine="0"/>
              <w:jc w:val="center"/>
            </w:pPr>
            <w:r>
              <w:rPr>
                <w:b/>
                <w:sz w:val="24"/>
              </w:rPr>
              <w:t>Store</w:t>
            </w:r>
          </w:p>
        </w:tc>
        <w:tc>
          <w:tcPr>
            <w:tcW w:type="dxa" w:w="720"/>
            <w:tcMar>
              <w:top w:w="65" w:type="dxa"/>
              <w:bottom w:w="65" w:type="dxa"/>
              <w:left w:w="65" w:type="dxa"/>
              <w:right w:w="65" w:type="dxa"/>
            </w:tcMar>
            <w:tcBorders>
              <w:bottom w:val="single" w:sz="6" w:color="000000"/>
            </w:tcBorders>
          </w:tcPr>
          <w:p>
            <w:pPr>
              <w:spacing w:line="264" w:lineRule="auto"/>
              <w:ind w:firstLine="0"/>
              <w:jc w:val="center"/>
            </w:pPr>
            <w:r>
              <w:rPr>
                <w:b/>
                <w:sz w:val="24"/>
              </w:rPr>
              <w:t>Units</w:t>
            </w:r>
          </w:p>
        </w:tc>
        <w:tc>
          <w:tcPr>
            <w:tcW w:type="dxa" w:w="1152"/>
            <w:tcMar>
              <w:top w:w="65" w:type="dxa"/>
              <w:bottom w:w="65" w:type="dxa"/>
              <w:left w:w="65" w:type="dxa"/>
              <w:right w:w="65" w:type="dxa"/>
            </w:tcMar>
            <w:tcBorders>
              <w:bottom w:val="single" w:sz="6" w:color="000000"/>
            </w:tcBorders>
          </w:tcPr>
          <w:p>
            <w:pPr>
              <w:spacing w:line="264" w:lineRule="auto"/>
              <w:ind w:firstLine="0"/>
              <w:jc w:val="center"/>
            </w:pPr>
            <w:r>
              <w:rPr>
                <w:b/>
                <w:sz w:val="24"/>
              </w:rPr>
              <w:t>Amount</w:t>
            </w:r>
          </w:p>
        </w:tc>
        <w:tc>
          <w:tcPr>
            <w:tcW w:type="dxa" w:w="2448"/>
            <w:tcMar>
              <w:top w:w="65" w:type="dxa"/>
              <w:bottom w:w="65" w:type="dxa"/>
              <w:left w:w="65" w:type="dxa"/>
              <w:right w:w="65" w:type="dxa"/>
            </w:tcMar>
            <w:tcBorders>
              <w:bottom w:val="single" w:sz="6" w:color="000000"/>
            </w:tcBorders>
          </w:tcPr>
          <w:p>
            <w:pPr>
              <w:spacing w:line="264" w:lineRule="auto"/>
              <w:ind w:firstLine="0"/>
              <w:jc w:val="center"/>
            </w:pPr>
            <w:r>
              <w:rPr>
                <w:b/>
                <w:sz w:val="24"/>
              </w:rPr>
              <w:t>Date</w:t>
            </w:r>
          </w:p>
        </w:tc>
      </w:tr>
      <w:tr>
        <w:tc>
          <w:tcPr>
            <w:tcW w:type="dxa" w:w="648"/>
            <w:tcMar>
              <w:top w:w="65" w:type="dxa"/>
              <w:bottom w:w="65" w:type="dxa"/>
              <w:left w:w="65" w:type="dxa"/>
              <w:right w:w="65" w:type="dxa"/>
            </w:tcMar>
          </w:tcPr>
          <w:p>
            <w:pPr>
              <w:spacing w:line="264" w:lineRule="auto"/>
              <w:ind w:firstLine="0"/>
              <w:jc w:val="left"/>
            </w:pPr>
            <w:r>
              <w:rPr>
                <w:b w:val="0"/>
                <w:sz w:val="24"/>
              </w:rPr>
              <w:t>1</w:t>
            </w:r>
          </w:p>
        </w:tc>
        <w:tc>
          <w:tcPr>
            <w:tcW w:type="dxa" w:w="1152"/>
            <w:tcMar>
              <w:top w:w="65" w:type="dxa"/>
              <w:bottom w:w="65" w:type="dxa"/>
              <w:left w:w="65" w:type="dxa"/>
              <w:right w:w="65" w:type="dxa"/>
            </w:tcMar>
          </w:tcPr>
          <w:p>
            <w:pPr>
              <w:spacing w:line="264" w:lineRule="auto"/>
              <w:ind w:firstLine="0"/>
              <w:jc w:val="center"/>
            </w:pPr>
            <w:r>
              <w:rPr>
                <w:b w:val="0"/>
                <w:sz w:val="24"/>
              </w:rPr>
              <w:t>1</w:t>
            </w:r>
          </w:p>
        </w:tc>
        <w:tc>
          <w:tcPr>
            <w:tcW w:type="dxa" w:w="1008"/>
            <w:tcMar>
              <w:top w:w="65" w:type="dxa"/>
              <w:bottom w:w="65" w:type="dxa"/>
              <w:left w:w="65" w:type="dxa"/>
              <w:right w:w="65" w:type="dxa"/>
            </w:tcMar>
          </w:tcPr>
          <w:p>
            <w:pPr>
              <w:spacing w:line="264" w:lineRule="auto"/>
              <w:ind w:firstLine="0"/>
              <w:jc w:val="center"/>
            </w:pPr>
            <w:r>
              <w:rPr>
                <w:b w:val="0"/>
                <w:sz w:val="24"/>
              </w:rPr>
              <w:t>101</w:t>
            </w:r>
          </w:p>
        </w:tc>
        <w:tc>
          <w:tcPr>
            <w:tcW w:type="dxa" w:w="792"/>
            <w:tcMar>
              <w:top w:w="65" w:type="dxa"/>
              <w:bottom w:w="65" w:type="dxa"/>
              <w:left w:w="65" w:type="dxa"/>
              <w:right w:w="65" w:type="dxa"/>
            </w:tcMar>
          </w:tcPr>
          <w:p>
            <w:pPr>
              <w:spacing w:line="264" w:lineRule="auto"/>
              <w:ind w:firstLine="0"/>
              <w:jc w:val="center"/>
            </w:pPr>
            <w:r>
              <w:rPr>
                <w:b w:val="0"/>
                <w:sz w:val="24"/>
              </w:rPr>
              <w:t>10</w:t>
            </w:r>
          </w:p>
        </w:tc>
        <w:tc>
          <w:tcPr>
            <w:tcW w:type="dxa" w:w="720"/>
            <w:tcMar>
              <w:top w:w="65" w:type="dxa"/>
              <w:bottom w:w="65" w:type="dxa"/>
              <w:left w:w="65" w:type="dxa"/>
              <w:right w:w="65" w:type="dxa"/>
            </w:tcMar>
          </w:tcPr>
          <w:p>
            <w:pPr>
              <w:spacing w:line="264" w:lineRule="auto"/>
              <w:ind w:firstLine="0"/>
              <w:jc w:val="center"/>
            </w:pPr>
            <w:r>
              <w:rPr>
                <w:b w:val="0"/>
                <w:sz w:val="24"/>
              </w:rPr>
              <w:t>1</w:t>
            </w:r>
          </w:p>
        </w:tc>
        <w:tc>
          <w:tcPr>
            <w:tcW w:type="dxa" w:w="1152"/>
            <w:tcMar>
              <w:top w:w="65" w:type="dxa"/>
              <w:bottom w:w="65" w:type="dxa"/>
              <w:left w:w="65" w:type="dxa"/>
              <w:right w:w="65" w:type="dxa"/>
            </w:tcMar>
          </w:tcPr>
          <w:p>
            <w:pPr>
              <w:spacing w:line="264" w:lineRule="auto"/>
              <w:ind w:firstLine="0"/>
              <w:jc w:val="center"/>
            </w:pPr>
            <w:r>
              <w:rPr>
                <w:b w:val="0"/>
                <w:sz w:val="24"/>
              </w:rPr>
              <w:t>900</w:t>
            </w:r>
          </w:p>
        </w:tc>
        <w:tc>
          <w:tcPr>
            <w:tcW w:type="dxa" w:w="2448"/>
            <w:tcMar>
              <w:top w:w="65" w:type="dxa"/>
              <w:bottom w:w="65" w:type="dxa"/>
              <w:left w:w="65" w:type="dxa"/>
              <w:right w:w="65" w:type="dxa"/>
            </w:tcMar>
          </w:tcPr>
          <w:p>
            <w:pPr>
              <w:spacing w:line="264" w:lineRule="auto"/>
              <w:ind w:firstLine="0"/>
              <w:jc w:val="center"/>
            </w:pPr>
            <w:r>
              <w:rPr>
                <w:b w:val="0"/>
                <w:sz w:val="24"/>
              </w:rPr>
              <w:t>2023-01-10</w:t>
            </w:r>
          </w:p>
        </w:tc>
      </w:tr>
      <w:tr>
        <w:tc>
          <w:tcPr>
            <w:tcW w:type="dxa" w:w="648"/>
            <w:tcMar>
              <w:top w:w="65" w:type="dxa"/>
              <w:bottom w:w="65" w:type="dxa"/>
              <w:left w:w="65" w:type="dxa"/>
              <w:right w:w="65" w:type="dxa"/>
            </w:tcMar>
          </w:tcPr>
          <w:p>
            <w:pPr>
              <w:spacing w:line="264" w:lineRule="auto"/>
              <w:ind w:firstLine="0"/>
              <w:jc w:val="left"/>
            </w:pPr>
            <w:r>
              <w:rPr>
                <w:b w:val="0"/>
                <w:sz w:val="24"/>
              </w:rPr>
              <w:t>2</w:t>
            </w:r>
          </w:p>
        </w:tc>
        <w:tc>
          <w:tcPr>
            <w:tcW w:type="dxa" w:w="1152"/>
            <w:tcMar>
              <w:top w:w="65" w:type="dxa"/>
              <w:bottom w:w="65" w:type="dxa"/>
              <w:left w:w="65" w:type="dxa"/>
              <w:right w:w="65" w:type="dxa"/>
            </w:tcMar>
          </w:tcPr>
          <w:p>
            <w:pPr>
              <w:spacing w:line="264" w:lineRule="auto"/>
              <w:ind w:firstLine="0"/>
              <w:jc w:val="center"/>
            </w:pPr>
            <w:r>
              <w:rPr>
                <w:b w:val="0"/>
                <w:sz w:val="24"/>
              </w:rPr>
              <w:t>2</w:t>
            </w:r>
          </w:p>
        </w:tc>
        <w:tc>
          <w:tcPr>
            <w:tcW w:type="dxa" w:w="1008"/>
            <w:tcMar>
              <w:top w:w="65" w:type="dxa"/>
              <w:bottom w:w="65" w:type="dxa"/>
              <w:left w:w="65" w:type="dxa"/>
              <w:right w:w="65" w:type="dxa"/>
            </w:tcMar>
          </w:tcPr>
          <w:p>
            <w:pPr>
              <w:spacing w:line="264" w:lineRule="auto"/>
              <w:ind w:firstLine="0"/>
              <w:jc w:val="center"/>
            </w:pPr>
            <w:r>
              <w:rPr>
                <w:b w:val="0"/>
                <w:sz w:val="24"/>
              </w:rPr>
              <w:t>102</w:t>
            </w:r>
          </w:p>
        </w:tc>
        <w:tc>
          <w:tcPr>
            <w:tcW w:type="dxa" w:w="792"/>
            <w:tcMar>
              <w:top w:w="65" w:type="dxa"/>
              <w:bottom w:w="65" w:type="dxa"/>
              <w:left w:w="65" w:type="dxa"/>
              <w:right w:w="65" w:type="dxa"/>
            </w:tcMar>
          </w:tcPr>
          <w:p>
            <w:pPr>
              <w:spacing w:line="264" w:lineRule="auto"/>
              <w:ind w:firstLine="0"/>
              <w:jc w:val="center"/>
            </w:pPr>
            <w:r>
              <w:rPr>
                <w:b w:val="0"/>
                <w:sz w:val="24"/>
              </w:rPr>
              <w:t>20</w:t>
            </w:r>
          </w:p>
        </w:tc>
        <w:tc>
          <w:tcPr>
            <w:tcW w:type="dxa" w:w="720"/>
            <w:tcMar>
              <w:top w:w="65" w:type="dxa"/>
              <w:bottom w:w="65" w:type="dxa"/>
              <w:left w:w="65" w:type="dxa"/>
              <w:right w:w="65" w:type="dxa"/>
            </w:tcMar>
          </w:tcPr>
          <w:p>
            <w:pPr>
              <w:spacing w:line="264" w:lineRule="auto"/>
              <w:ind w:firstLine="0"/>
              <w:jc w:val="center"/>
            </w:pPr>
            <w:r>
              <w:rPr>
                <w:b w:val="0"/>
                <w:sz w:val="24"/>
              </w:rPr>
              <w:t>2</w:t>
            </w:r>
          </w:p>
        </w:tc>
        <w:tc>
          <w:tcPr>
            <w:tcW w:type="dxa" w:w="1152"/>
            <w:tcMar>
              <w:top w:w="65" w:type="dxa"/>
              <w:bottom w:w="65" w:type="dxa"/>
              <w:left w:w="65" w:type="dxa"/>
              <w:right w:w="65" w:type="dxa"/>
            </w:tcMar>
          </w:tcPr>
          <w:p>
            <w:pPr>
              <w:spacing w:line="264" w:lineRule="auto"/>
              <w:ind w:firstLine="0"/>
              <w:jc w:val="center"/>
            </w:pPr>
            <w:r>
              <w:rPr>
                <w:b w:val="0"/>
                <w:sz w:val="24"/>
              </w:rPr>
              <w:t>2200</w:t>
            </w:r>
          </w:p>
        </w:tc>
        <w:tc>
          <w:tcPr>
            <w:tcW w:type="dxa" w:w="2448"/>
            <w:tcMar>
              <w:top w:w="65" w:type="dxa"/>
              <w:bottom w:w="65" w:type="dxa"/>
              <w:left w:w="65" w:type="dxa"/>
              <w:right w:w="65" w:type="dxa"/>
            </w:tcMar>
          </w:tcPr>
          <w:p>
            <w:pPr>
              <w:spacing w:line="264" w:lineRule="auto"/>
              <w:ind w:firstLine="0"/>
              <w:jc w:val="center"/>
            </w:pPr>
            <w:r>
              <w:rPr>
                <w:b w:val="0"/>
                <w:sz w:val="24"/>
              </w:rPr>
              <w:t>2023-01-12</w:t>
            </w:r>
          </w:p>
        </w:tc>
      </w:tr>
      <w:tr>
        <w:tc>
          <w:tcPr>
            <w:tcW w:type="dxa" w:w="648"/>
            <w:tcMar>
              <w:top w:w="65" w:type="dxa"/>
              <w:bottom w:w="65" w:type="dxa"/>
              <w:left w:w="65" w:type="dxa"/>
              <w:right w:w="65" w:type="dxa"/>
            </w:tcMar>
          </w:tcPr>
          <w:p>
            <w:pPr>
              <w:spacing w:line="264" w:lineRule="auto"/>
              <w:ind w:firstLine="0"/>
              <w:jc w:val="left"/>
            </w:pPr>
            <w:r>
              <w:rPr>
                <w:b w:val="0"/>
                <w:sz w:val="24"/>
              </w:rPr>
              <w:t>3</w:t>
            </w:r>
          </w:p>
        </w:tc>
        <w:tc>
          <w:tcPr>
            <w:tcW w:type="dxa" w:w="1152"/>
            <w:tcMar>
              <w:top w:w="65" w:type="dxa"/>
              <w:bottom w:w="65" w:type="dxa"/>
              <w:left w:w="65" w:type="dxa"/>
              <w:right w:w="65" w:type="dxa"/>
            </w:tcMar>
          </w:tcPr>
          <w:p>
            <w:pPr>
              <w:spacing w:line="264" w:lineRule="auto"/>
              <w:ind w:firstLine="0"/>
              <w:jc w:val="center"/>
            </w:pPr>
            <w:r>
              <w:rPr>
                <w:b w:val="0"/>
                <w:sz w:val="24"/>
              </w:rPr>
              <w:t>3</w:t>
            </w:r>
          </w:p>
        </w:tc>
        <w:tc>
          <w:tcPr>
            <w:tcW w:type="dxa" w:w="1008"/>
            <w:tcMar>
              <w:top w:w="65" w:type="dxa"/>
              <w:bottom w:w="65" w:type="dxa"/>
              <w:left w:w="65" w:type="dxa"/>
              <w:right w:w="65" w:type="dxa"/>
            </w:tcMar>
          </w:tcPr>
          <w:p>
            <w:pPr>
              <w:spacing w:line="264" w:lineRule="auto"/>
              <w:ind w:firstLine="0"/>
              <w:jc w:val="center"/>
            </w:pPr>
            <w:r>
              <w:rPr>
                <w:b w:val="0"/>
                <w:sz w:val="24"/>
              </w:rPr>
              <w:t>101</w:t>
            </w:r>
          </w:p>
        </w:tc>
        <w:tc>
          <w:tcPr>
            <w:tcW w:type="dxa" w:w="792"/>
            <w:tcMar>
              <w:top w:w="65" w:type="dxa"/>
              <w:bottom w:w="65" w:type="dxa"/>
              <w:left w:w="65" w:type="dxa"/>
              <w:right w:w="65" w:type="dxa"/>
            </w:tcMar>
          </w:tcPr>
          <w:p>
            <w:pPr>
              <w:spacing w:line="264" w:lineRule="auto"/>
              <w:ind w:firstLine="0"/>
              <w:jc w:val="center"/>
            </w:pPr>
            <w:r>
              <w:rPr>
                <w:b w:val="0"/>
                <w:sz w:val="24"/>
              </w:rPr>
              <w:t>20</w:t>
            </w:r>
          </w:p>
        </w:tc>
        <w:tc>
          <w:tcPr>
            <w:tcW w:type="dxa" w:w="720"/>
            <w:tcMar>
              <w:top w:w="65" w:type="dxa"/>
              <w:bottom w:w="65" w:type="dxa"/>
              <w:left w:w="65" w:type="dxa"/>
              <w:right w:w="65" w:type="dxa"/>
            </w:tcMar>
          </w:tcPr>
          <w:p>
            <w:pPr>
              <w:spacing w:line="264" w:lineRule="auto"/>
              <w:ind w:firstLine="0"/>
              <w:jc w:val="center"/>
            </w:pPr>
            <w:r>
              <w:rPr>
                <w:b w:val="0"/>
                <w:sz w:val="24"/>
              </w:rPr>
              <w:t>1</w:t>
            </w:r>
          </w:p>
        </w:tc>
        <w:tc>
          <w:tcPr>
            <w:tcW w:type="dxa" w:w="1152"/>
            <w:tcMar>
              <w:top w:w="65" w:type="dxa"/>
              <w:bottom w:w="65" w:type="dxa"/>
              <w:left w:w="65" w:type="dxa"/>
              <w:right w:w="65" w:type="dxa"/>
            </w:tcMar>
          </w:tcPr>
          <w:p>
            <w:pPr>
              <w:spacing w:line="264" w:lineRule="auto"/>
              <w:ind w:firstLine="0"/>
              <w:jc w:val="center"/>
            </w:pPr>
            <w:r>
              <w:rPr>
                <w:b w:val="0"/>
                <w:sz w:val="24"/>
              </w:rPr>
              <w:t>900</w:t>
            </w:r>
          </w:p>
        </w:tc>
        <w:tc>
          <w:tcPr>
            <w:tcW w:type="dxa" w:w="2448"/>
            <w:tcMar>
              <w:top w:w="65" w:type="dxa"/>
              <w:bottom w:w="65" w:type="dxa"/>
              <w:left w:w="65" w:type="dxa"/>
              <w:right w:w="65" w:type="dxa"/>
            </w:tcMar>
          </w:tcPr>
          <w:p>
            <w:pPr>
              <w:spacing w:line="264" w:lineRule="auto"/>
              <w:ind w:firstLine="0"/>
              <w:jc w:val="center"/>
            </w:pPr>
            <w:r>
              <w:rPr>
                <w:b w:val="0"/>
                <w:sz w:val="24"/>
              </w:rPr>
              <w:t>2023-01-15</w:t>
            </w:r>
          </w:p>
        </w:tc>
      </w:tr>
      <w:tr>
        <w:tc>
          <w:tcPr>
            <w:tcW w:type="dxa" w:w="648"/>
            <w:tcMar>
              <w:top w:w="65" w:type="dxa"/>
              <w:bottom w:w="65" w:type="dxa"/>
              <w:left w:w="65" w:type="dxa"/>
              <w:right w:w="65" w:type="dxa"/>
            </w:tcMar>
          </w:tcPr>
          <w:p>
            <w:pPr>
              <w:spacing w:line="264" w:lineRule="auto"/>
              <w:ind w:firstLine="0"/>
              <w:jc w:val="left"/>
            </w:pPr>
            <w:r>
              <w:rPr>
                <w:b w:val="0"/>
                <w:sz w:val="24"/>
              </w:rPr>
              <w:t>4</w:t>
            </w:r>
          </w:p>
        </w:tc>
        <w:tc>
          <w:tcPr>
            <w:tcW w:type="dxa" w:w="1152"/>
            <w:tcMar>
              <w:top w:w="65" w:type="dxa"/>
              <w:bottom w:w="65" w:type="dxa"/>
              <w:left w:w="65" w:type="dxa"/>
              <w:right w:w="65" w:type="dxa"/>
            </w:tcMar>
          </w:tcPr>
          <w:p>
            <w:pPr>
              <w:spacing w:line="264" w:lineRule="auto"/>
              <w:ind w:firstLine="0"/>
              <w:jc w:val="center"/>
            </w:pPr>
            <w:r>
              <w:rPr>
                <w:b w:val="0"/>
                <w:sz w:val="24"/>
              </w:rPr>
              <w:t>1</w:t>
            </w:r>
          </w:p>
        </w:tc>
        <w:tc>
          <w:tcPr>
            <w:tcW w:type="dxa" w:w="1008"/>
            <w:tcMar>
              <w:top w:w="65" w:type="dxa"/>
              <w:bottom w:w="65" w:type="dxa"/>
              <w:left w:w="65" w:type="dxa"/>
              <w:right w:w="65" w:type="dxa"/>
            </w:tcMar>
          </w:tcPr>
          <w:p>
            <w:pPr>
              <w:spacing w:line="264" w:lineRule="auto"/>
              <w:ind w:firstLine="0"/>
              <w:jc w:val="center"/>
            </w:pPr>
            <w:r>
              <w:rPr>
                <w:b w:val="0"/>
                <w:sz w:val="24"/>
              </w:rPr>
              <w:t>103</w:t>
            </w:r>
          </w:p>
        </w:tc>
        <w:tc>
          <w:tcPr>
            <w:tcW w:type="dxa" w:w="792"/>
            <w:tcMar>
              <w:top w:w="65" w:type="dxa"/>
              <w:bottom w:w="65" w:type="dxa"/>
              <w:left w:w="65" w:type="dxa"/>
              <w:right w:w="65" w:type="dxa"/>
            </w:tcMar>
          </w:tcPr>
          <w:p>
            <w:pPr>
              <w:spacing w:line="264" w:lineRule="auto"/>
              <w:ind w:firstLine="0"/>
              <w:jc w:val="center"/>
            </w:pPr>
            <w:r>
              <w:rPr>
                <w:b w:val="0"/>
                <w:sz w:val="24"/>
              </w:rPr>
              <w:t>10</w:t>
            </w:r>
          </w:p>
        </w:tc>
        <w:tc>
          <w:tcPr>
            <w:tcW w:type="dxa" w:w="720"/>
            <w:tcMar>
              <w:top w:w="65" w:type="dxa"/>
              <w:bottom w:w="65" w:type="dxa"/>
              <w:left w:w="65" w:type="dxa"/>
              <w:right w:w="65" w:type="dxa"/>
            </w:tcMar>
          </w:tcPr>
          <w:p>
            <w:pPr>
              <w:spacing w:line="264" w:lineRule="auto"/>
              <w:ind w:firstLine="0"/>
              <w:jc w:val="center"/>
            </w:pPr>
            <w:r>
              <w:rPr>
                <w:b w:val="0"/>
                <w:sz w:val="24"/>
              </w:rPr>
              <w:t>2</w:t>
            </w:r>
          </w:p>
        </w:tc>
        <w:tc>
          <w:tcPr>
            <w:tcW w:type="dxa" w:w="1152"/>
            <w:tcMar>
              <w:top w:w="65" w:type="dxa"/>
              <w:bottom w:w="65" w:type="dxa"/>
              <w:left w:w="65" w:type="dxa"/>
              <w:right w:w="65" w:type="dxa"/>
            </w:tcMar>
          </w:tcPr>
          <w:p>
            <w:pPr>
              <w:spacing w:line="264" w:lineRule="auto"/>
              <w:ind w:firstLine="0"/>
              <w:jc w:val="center"/>
            </w:pPr>
            <w:r>
              <w:rPr>
                <w:b w:val="0"/>
                <w:sz w:val="24"/>
              </w:rPr>
              <w:t>400</w:t>
            </w:r>
          </w:p>
        </w:tc>
        <w:tc>
          <w:tcPr>
            <w:tcW w:type="dxa" w:w="2448"/>
            <w:tcMar>
              <w:top w:w="65" w:type="dxa"/>
              <w:bottom w:w="65" w:type="dxa"/>
              <w:left w:w="65" w:type="dxa"/>
              <w:right w:w="65" w:type="dxa"/>
            </w:tcMar>
          </w:tcPr>
          <w:p>
            <w:pPr>
              <w:spacing w:line="264" w:lineRule="auto"/>
              <w:ind w:firstLine="0"/>
              <w:jc w:val="center"/>
            </w:pPr>
            <w:r>
              <w:rPr>
                <w:b w:val="0"/>
                <w:sz w:val="24"/>
              </w:rPr>
              <w:t>2023-01-20</w:t>
            </w:r>
          </w:p>
        </w:tc>
      </w:tr>
    </w:tbl>
    <w:p>
      <w:pPr>
        <w:spacing w:line="240" w:lineRule="auto"/>
        <w:ind w:firstLine="0"/>
      </w:pPr>
    </w:p>
    <w:p>
      <w:pPr>
        <w:keepNext/>
        <w:ind w:firstLine="0"/>
      </w:pPr>
      <w:r>
        <w:rPr>
          <w:b/>
        </w:rPr>
        <w:t>Figure 9</w:t>
      </w:r>
    </w:p>
    <w:p>
      <w:pPr>
        <w:keepNext/>
        <w:ind w:firstLine="0"/>
      </w:pPr>
      <w:r>
        <w:rPr>
          <w:i/>
        </w:rPr>
        <w:t>Fact Sales Query Output</w:t>
      </w:r>
    </w:p>
    <w:p>
      <w:pPr>
        <w:keepNext/>
        <w:spacing w:line="240" w:lineRule="auto"/>
        <w:ind w:firstLine="0"/>
      </w:pPr>
      <w:r>
        <w:drawing>
          <wp:inline xmlns:a="http://schemas.openxmlformats.org/drawingml/2006/main" xmlns:pic="http://schemas.openxmlformats.org/drawingml/2006/picture">
            <wp:extent cx="5943600" cy="1562831"/>
            <wp:docPr id="9" name="Picture 9" descr="Fact Sales Query Output Actual console capture from the project."/>
            <wp:cNvGraphicFramePr>
              <a:graphicFrameLocks noChangeAspect="1"/>
            </wp:cNvGraphicFramePr>
            <a:graphic>
              <a:graphicData uri="http://schemas.openxmlformats.org/drawingml/2006/picture">
                <pic:pic>
                  <pic:nvPicPr>
                    <pic:cNvPr id="0" name="10.png"/>
                    <pic:cNvPicPr/>
                  </pic:nvPicPr>
                  <pic:blipFill>
                    <a:blip r:embed="rId18"/>
                    <a:stretch>
                      <a:fillRect/>
                    </a:stretch>
                  </pic:blipFill>
                  <pic:spPr>
                    <a:xfrm>
                      <a:off x="0" y="0"/>
                      <a:ext cx="5943600" cy="1562831"/>
                    </a:xfrm>
                    <a:prstGeom prst="rect"/>
                  </pic:spPr>
                </pic:pic>
              </a:graphicData>
            </a:graphic>
          </wp:inline>
        </w:drawing>
      </w:r>
    </w:p>
    <w:p>
      <w:pPr>
        <w:spacing w:line="240" w:lineRule="auto" w:after="240"/>
        <w:ind w:firstLine="0"/>
      </w:pPr>
      <w:r>
        <w:rPr>
          <w:sz w:val="22"/>
        </w:rPr>
        <w:t>Note. The actual fact sample contains four rows. The amounts sum to 4,400 and the quantities sum to six units.</w:t>
      </w:r>
    </w:p>
    <w:p>
      <w:r>
        <w:br w:type="page"/>
      </w:r>
    </w:p>
    <w:p>
      <w:pPr>
        <w:pStyle w:val="Heading1"/>
      </w:pPr>
      <w:r>
        <w:t>Revenue by Product</w:t>
      </w:r>
    </w:p>
    <w:p>
      <w:pPr>
        <w:ind w:firstLine="720"/>
      </w:pPr>
      <w:r>
        <w:t>The product query joins fact_sales to dim_product and groups the amounts by product_name. iPhone 14 contributes the highest revenue in this sample at 2,200. The two iPhone 13 sales contribute 1,800, and AirPods contributes 400. Table 3 and Figure 10 show the same results.</w:t>
      </w:r>
    </w:p>
    <w:p>
      <w:pPr>
        <w:keepNext/>
        <w:ind w:firstLine="0"/>
      </w:pPr>
      <w:r>
        <w:rPr>
          <w:b/>
        </w:rPr>
        <w:t>Table 3</w:t>
      </w:r>
    </w:p>
    <w:p>
      <w:pPr>
        <w:keepNext/>
        <w:ind w:firstLine="0"/>
      </w:pPr>
      <w:r>
        <w:rPr>
          <w:i/>
        </w:rPr>
        <w:t>Product Revenue</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Pr>
      <w:tblGrid>
        <w:gridCol w:w="5760"/>
        <w:gridCol w:w="3600"/>
      </w:tblGrid>
      <w:tr>
        <w:trPr>
          <w:tblHeader/>
        </w:trPr>
        <w:tc>
          <w:tcPr>
            <w:tcW w:type="dxa" w:w="5760"/>
            <w:tcMar>
              <w:top w:w="65" w:type="dxa"/>
              <w:bottom w:w="65" w:type="dxa"/>
              <w:left w:w="65" w:type="dxa"/>
              <w:right w:w="65" w:type="dxa"/>
            </w:tcMar>
            <w:tcBorders>
              <w:bottom w:val="single" w:sz="6" w:color="000000"/>
            </w:tcBorders>
          </w:tcPr>
          <w:p>
            <w:pPr>
              <w:spacing w:line="264" w:lineRule="auto"/>
              <w:ind w:firstLine="0"/>
              <w:jc w:val="left"/>
            </w:pPr>
            <w:r>
              <w:rPr>
                <w:b/>
                <w:sz w:val="24"/>
              </w:rPr>
              <w:t>Product</w:t>
            </w:r>
          </w:p>
        </w:tc>
        <w:tc>
          <w:tcPr>
            <w:tcW w:type="dxa" w:w="3600"/>
            <w:tcMar>
              <w:top w:w="65" w:type="dxa"/>
              <w:bottom w:w="65" w:type="dxa"/>
              <w:left w:w="65" w:type="dxa"/>
              <w:right w:w="65" w:type="dxa"/>
            </w:tcMar>
            <w:tcBorders>
              <w:bottom w:val="single" w:sz="6" w:color="000000"/>
            </w:tcBorders>
          </w:tcPr>
          <w:p>
            <w:pPr>
              <w:spacing w:line="264" w:lineRule="auto"/>
              <w:ind w:firstLine="0"/>
              <w:jc w:val="center"/>
            </w:pPr>
            <w:r>
              <w:rPr>
                <w:b/>
                <w:sz w:val="24"/>
              </w:rPr>
              <w:t>Revenue</w:t>
            </w:r>
          </w:p>
        </w:tc>
      </w:tr>
      <w:tr>
        <w:tc>
          <w:tcPr>
            <w:tcW w:type="dxa" w:w="5760"/>
            <w:tcMar>
              <w:top w:w="65" w:type="dxa"/>
              <w:bottom w:w="65" w:type="dxa"/>
              <w:left w:w="65" w:type="dxa"/>
              <w:right w:w="65" w:type="dxa"/>
            </w:tcMar>
          </w:tcPr>
          <w:p>
            <w:pPr>
              <w:spacing w:line="264" w:lineRule="auto"/>
              <w:ind w:firstLine="0"/>
              <w:jc w:val="left"/>
            </w:pPr>
            <w:r>
              <w:rPr>
                <w:b w:val="0"/>
                <w:sz w:val="24"/>
              </w:rPr>
              <w:t>AirPods</w:t>
            </w:r>
          </w:p>
        </w:tc>
        <w:tc>
          <w:tcPr>
            <w:tcW w:type="dxa" w:w="3600"/>
            <w:tcMar>
              <w:top w:w="65" w:type="dxa"/>
              <w:bottom w:w="65" w:type="dxa"/>
              <w:left w:w="65" w:type="dxa"/>
              <w:right w:w="65" w:type="dxa"/>
            </w:tcMar>
          </w:tcPr>
          <w:p>
            <w:pPr>
              <w:spacing w:line="264" w:lineRule="auto"/>
              <w:ind w:firstLine="0"/>
              <w:jc w:val="center"/>
            </w:pPr>
            <w:r>
              <w:rPr>
                <w:b w:val="0"/>
                <w:sz w:val="24"/>
              </w:rPr>
              <w:t>400</w:t>
            </w:r>
          </w:p>
        </w:tc>
      </w:tr>
      <w:tr>
        <w:tc>
          <w:tcPr>
            <w:tcW w:type="dxa" w:w="5760"/>
            <w:tcMar>
              <w:top w:w="65" w:type="dxa"/>
              <w:bottom w:w="65" w:type="dxa"/>
              <w:left w:w="65" w:type="dxa"/>
              <w:right w:w="65" w:type="dxa"/>
            </w:tcMar>
          </w:tcPr>
          <w:p>
            <w:pPr>
              <w:spacing w:line="264" w:lineRule="auto"/>
              <w:ind w:firstLine="0"/>
              <w:jc w:val="left"/>
            </w:pPr>
            <w:r>
              <w:rPr>
                <w:b w:val="0"/>
                <w:sz w:val="24"/>
              </w:rPr>
              <w:t>iPhone 13</w:t>
            </w:r>
          </w:p>
        </w:tc>
        <w:tc>
          <w:tcPr>
            <w:tcW w:type="dxa" w:w="3600"/>
            <w:tcMar>
              <w:top w:w="65" w:type="dxa"/>
              <w:bottom w:w="65" w:type="dxa"/>
              <w:left w:w="65" w:type="dxa"/>
              <w:right w:w="65" w:type="dxa"/>
            </w:tcMar>
          </w:tcPr>
          <w:p>
            <w:pPr>
              <w:spacing w:line="264" w:lineRule="auto"/>
              <w:ind w:firstLine="0"/>
              <w:jc w:val="center"/>
            </w:pPr>
            <w:r>
              <w:rPr>
                <w:b w:val="0"/>
                <w:sz w:val="24"/>
              </w:rPr>
              <w:t>1800</w:t>
            </w:r>
          </w:p>
        </w:tc>
      </w:tr>
      <w:tr>
        <w:tc>
          <w:tcPr>
            <w:tcW w:type="dxa" w:w="5760"/>
            <w:tcMar>
              <w:top w:w="65" w:type="dxa"/>
              <w:bottom w:w="65" w:type="dxa"/>
              <w:left w:w="65" w:type="dxa"/>
              <w:right w:w="65" w:type="dxa"/>
            </w:tcMar>
          </w:tcPr>
          <w:p>
            <w:pPr>
              <w:spacing w:line="264" w:lineRule="auto"/>
              <w:ind w:firstLine="0"/>
              <w:jc w:val="left"/>
            </w:pPr>
            <w:r>
              <w:rPr>
                <w:b w:val="0"/>
                <w:sz w:val="24"/>
              </w:rPr>
              <w:t>iPhone 14</w:t>
            </w:r>
          </w:p>
        </w:tc>
        <w:tc>
          <w:tcPr>
            <w:tcW w:type="dxa" w:w="3600"/>
            <w:tcMar>
              <w:top w:w="65" w:type="dxa"/>
              <w:bottom w:w="65" w:type="dxa"/>
              <w:left w:w="65" w:type="dxa"/>
              <w:right w:w="65" w:type="dxa"/>
            </w:tcMar>
          </w:tcPr>
          <w:p>
            <w:pPr>
              <w:spacing w:line="264" w:lineRule="auto"/>
              <w:ind w:firstLine="0"/>
              <w:jc w:val="center"/>
            </w:pPr>
            <w:r>
              <w:rPr>
                <w:b w:val="0"/>
                <w:sz w:val="24"/>
              </w:rPr>
              <w:t>2200</w:t>
            </w:r>
          </w:p>
        </w:tc>
      </w:tr>
    </w:tbl>
    <w:p>
      <w:pPr>
        <w:spacing w:line="240" w:lineRule="auto"/>
        <w:ind w:firstLine="0"/>
      </w:pPr>
    </w:p>
    <w:p>
      <w:pPr>
        <w:keepNext/>
        <w:ind w:firstLine="0"/>
      </w:pPr>
      <w:r>
        <w:rPr>
          <w:b/>
        </w:rPr>
        <w:t>Figure 10</w:t>
      </w:r>
    </w:p>
    <w:p>
      <w:pPr>
        <w:keepNext/>
        <w:ind w:firstLine="0"/>
      </w:pPr>
      <w:r>
        <w:rPr>
          <w:i/>
        </w:rPr>
        <w:t>Hive Product Revenue Query</w:t>
      </w:r>
    </w:p>
    <w:p>
      <w:pPr>
        <w:keepNext/>
        <w:spacing w:line="240" w:lineRule="auto"/>
        <w:ind w:firstLine="0"/>
      </w:pPr>
      <w:r>
        <w:drawing>
          <wp:inline xmlns:a="http://schemas.openxmlformats.org/drawingml/2006/main" xmlns:pic="http://schemas.openxmlformats.org/drawingml/2006/picture">
            <wp:extent cx="5943600" cy="1510968"/>
            <wp:docPr id="10" name="Picture 10" descr="Hive Product Revenue Query Actual console capture from the project."/>
            <wp:cNvGraphicFramePr>
              <a:graphicFrameLocks noChangeAspect="1"/>
            </wp:cNvGraphicFramePr>
            <a:graphic>
              <a:graphicData uri="http://schemas.openxmlformats.org/drawingml/2006/picture">
                <pic:pic>
                  <pic:nvPicPr>
                    <pic:cNvPr id="0" name="6.png"/>
                    <pic:cNvPicPr/>
                  </pic:nvPicPr>
                  <pic:blipFill>
                    <a:blip r:embed="rId19"/>
                    <a:stretch>
                      <a:fillRect/>
                    </a:stretch>
                  </pic:blipFill>
                  <pic:spPr>
                    <a:xfrm>
                      <a:off x="0" y="0"/>
                      <a:ext cx="5943600" cy="1510968"/>
                    </a:xfrm>
                    <a:prstGeom prst="rect"/>
                  </pic:spPr>
                </pic:pic>
              </a:graphicData>
            </a:graphic>
          </wp:inline>
        </w:drawing>
      </w:r>
    </w:p>
    <w:p>
      <w:pPr>
        <w:spacing w:line="240" w:lineRule="auto" w:after="240"/>
        <w:ind w:firstLine="0"/>
      </w:pPr>
      <w:r>
        <w:rPr>
          <w:sz w:val="22"/>
        </w:rPr>
        <w:t>Note. The screenshot includes the executed join and aggregation, output column names and all three product totals.</w:t>
      </w:r>
    </w:p>
    <w:p>
      <w:pPr>
        <w:ind w:firstLine="720"/>
      </w:pPr>
      <w:r>
        <w:t>The totals reconcile to 400 + 1,800 + 2,200 = 4,400. This comparison describes the supplied sample rather than a wider market trend.</w:t>
      </w:r>
    </w:p>
    <w:p>
      <w:r>
        <w:br w:type="page"/>
      </w:r>
    </w:p>
    <w:p>
      <w:pPr>
        <w:pStyle w:val="Heading1"/>
      </w:pPr>
      <w:r>
        <w:t>Revenue by Store</w:t>
      </w:r>
    </w:p>
    <w:p>
      <w:pPr>
        <w:ind w:firstLine="720"/>
      </w:pPr>
      <w:r>
        <w:t>The store query joins fact_sales to dim_store and groups by store_name. Apple Store NY generates 3,100, while Apple Store SJ generates 1,300. New York's total includes the two-unit iPhone 14 sale and one iPhone 13 sale. San Jose's total includes an iPhone 13 sale and the AirPods sale.</w:t>
      </w:r>
    </w:p>
    <w:p>
      <w:pPr>
        <w:keepNext/>
        <w:ind w:firstLine="0"/>
      </w:pPr>
      <w:r>
        <w:rPr>
          <w:b/>
        </w:rPr>
        <w:t>Table 4</w:t>
      </w:r>
    </w:p>
    <w:p>
      <w:pPr>
        <w:keepNext/>
        <w:ind w:firstLine="0"/>
      </w:pPr>
      <w:r>
        <w:rPr>
          <w:i/>
        </w:rPr>
        <w:t>Store Revenue</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Pr>
      <w:tblGrid>
        <w:gridCol w:w="5760"/>
        <w:gridCol w:w="3600"/>
      </w:tblGrid>
      <w:tr>
        <w:trPr>
          <w:tblHeader/>
        </w:trPr>
        <w:tc>
          <w:tcPr>
            <w:tcW w:type="dxa" w:w="5760"/>
            <w:tcMar>
              <w:top w:w="65" w:type="dxa"/>
              <w:bottom w:w="65" w:type="dxa"/>
              <w:left w:w="65" w:type="dxa"/>
              <w:right w:w="65" w:type="dxa"/>
            </w:tcMar>
            <w:tcBorders>
              <w:bottom w:val="single" w:sz="6" w:color="000000"/>
            </w:tcBorders>
          </w:tcPr>
          <w:p>
            <w:pPr>
              <w:spacing w:line="264" w:lineRule="auto"/>
              <w:ind w:firstLine="0"/>
              <w:jc w:val="left"/>
            </w:pPr>
            <w:r>
              <w:rPr>
                <w:b/>
                <w:sz w:val="24"/>
              </w:rPr>
              <w:t>Store</w:t>
            </w:r>
          </w:p>
        </w:tc>
        <w:tc>
          <w:tcPr>
            <w:tcW w:type="dxa" w:w="3600"/>
            <w:tcMar>
              <w:top w:w="65" w:type="dxa"/>
              <w:bottom w:w="65" w:type="dxa"/>
              <w:left w:w="65" w:type="dxa"/>
              <w:right w:w="65" w:type="dxa"/>
            </w:tcMar>
            <w:tcBorders>
              <w:bottom w:val="single" w:sz="6" w:color="000000"/>
            </w:tcBorders>
          </w:tcPr>
          <w:p>
            <w:pPr>
              <w:spacing w:line="264" w:lineRule="auto"/>
              <w:ind w:firstLine="0"/>
              <w:jc w:val="center"/>
            </w:pPr>
            <w:r>
              <w:rPr>
                <w:b/>
                <w:sz w:val="24"/>
              </w:rPr>
              <w:t>Revenue</w:t>
            </w:r>
          </w:p>
        </w:tc>
      </w:tr>
      <w:tr>
        <w:tc>
          <w:tcPr>
            <w:tcW w:type="dxa" w:w="5760"/>
            <w:tcMar>
              <w:top w:w="65" w:type="dxa"/>
              <w:bottom w:w="65" w:type="dxa"/>
              <w:left w:w="65" w:type="dxa"/>
              <w:right w:w="65" w:type="dxa"/>
            </w:tcMar>
          </w:tcPr>
          <w:p>
            <w:pPr>
              <w:spacing w:line="264" w:lineRule="auto"/>
              <w:ind w:firstLine="0"/>
              <w:jc w:val="left"/>
            </w:pPr>
            <w:r>
              <w:rPr>
                <w:b w:val="0"/>
                <w:sz w:val="24"/>
              </w:rPr>
              <w:t>Apple Store NY</w:t>
            </w:r>
          </w:p>
        </w:tc>
        <w:tc>
          <w:tcPr>
            <w:tcW w:type="dxa" w:w="3600"/>
            <w:tcMar>
              <w:top w:w="65" w:type="dxa"/>
              <w:bottom w:w="65" w:type="dxa"/>
              <w:left w:w="65" w:type="dxa"/>
              <w:right w:w="65" w:type="dxa"/>
            </w:tcMar>
          </w:tcPr>
          <w:p>
            <w:pPr>
              <w:spacing w:line="264" w:lineRule="auto"/>
              <w:ind w:firstLine="0"/>
              <w:jc w:val="center"/>
            </w:pPr>
            <w:r>
              <w:rPr>
                <w:b w:val="0"/>
                <w:sz w:val="24"/>
              </w:rPr>
              <w:t>3100</w:t>
            </w:r>
          </w:p>
        </w:tc>
      </w:tr>
      <w:tr>
        <w:tc>
          <w:tcPr>
            <w:tcW w:type="dxa" w:w="5760"/>
            <w:tcMar>
              <w:top w:w="65" w:type="dxa"/>
              <w:bottom w:w="65" w:type="dxa"/>
              <w:left w:w="65" w:type="dxa"/>
              <w:right w:w="65" w:type="dxa"/>
            </w:tcMar>
          </w:tcPr>
          <w:p>
            <w:pPr>
              <w:spacing w:line="264" w:lineRule="auto"/>
              <w:ind w:firstLine="0"/>
              <w:jc w:val="left"/>
            </w:pPr>
            <w:r>
              <w:rPr>
                <w:b w:val="0"/>
                <w:sz w:val="24"/>
              </w:rPr>
              <w:t>Apple Store SJ</w:t>
            </w:r>
          </w:p>
        </w:tc>
        <w:tc>
          <w:tcPr>
            <w:tcW w:type="dxa" w:w="3600"/>
            <w:tcMar>
              <w:top w:w="65" w:type="dxa"/>
              <w:bottom w:w="65" w:type="dxa"/>
              <w:left w:w="65" w:type="dxa"/>
              <w:right w:w="65" w:type="dxa"/>
            </w:tcMar>
          </w:tcPr>
          <w:p>
            <w:pPr>
              <w:spacing w:line="264" w:lineRule="auto"/>
              <w:ind w:firstLine="0"/>
              <w:jc w:val="center"/>
            </w:pPr>
            <w:r>
              <w:rPr>
                <w:b w:val="0"/>
                <w:sz w:val="24"/>
              </w:rPr>
              <w:t>1300</w:t>
            </w:r>
          </w:p>
        </w:tc>
      </w:tr>
    </w:tbl>
    <w:p>
      <w:pPr>
        <w:spacing w:line="240" w:lineRule="auto"/>
        <w:ind w:firstLine="0"/>
      </w:pPr>
    </w:p>
    <w:p>
      <w:pPr>
        <w:keepNext/>
        <w:ind w:firstLine="0"/>
      </w:pPr>
      <w:r>
        <w:rPr>
          <w:b/>
        </w:rPr>
        <w:t>Figure 11</w:t>
      </w:r>
    </w:p>
    <w:p>
      <w:pPr>
        <w:keepNext/>
        <w:ind w:firstLine="0"/>
      </w:pPr>
      <w:r>
        <w:rPr>
          <w:i/>
        </w:rPr>
        <w:t>Hive Store Revenue Query</w:t>
      </w:r>
    </w:p>
    <w:p>
      <w:pPr>
        <w:keepNext/>
        <w:spacing w:line="240" w:lineRule="auto"/>
        <w:ind w:firstLine="0"/>
      </w:pPr>
      <w:r>
        <w:drawing>
          <wp:inline xmlns:a="http://schemas.openxmlformats.org/drawingml/2006/main" xmlns:pic="http://schemas.openxmlformats.org/drawingml/2006/picture">
            <wp:extent cx="5943600" cy="1459104"/>
            <wp:docPr id="11" name="Picture 11" descr="Hive Store Revenue Query Actual console capture from the project."/>
            <wp:cNvGraphicFramePr>
              <a:graphicFrameLocks noChangeAspect="1"/>
            </wp:cNvGraphicFramePr>
            <a:graphic>
              <a:graphicData uri="http://schemas.openxmlformats.org/drawingml/2006/picture">
                <pic:pic>
                  <pic:nvPicPr>
                    <pic:cNvPr id="0" name="7.png"/>
                    <pic:cNvPicPr/>
                  </pic:nvPicPr>
                  <pic:blipFill>
                    <a:blip r:embed="rId20"/>
                    <a:stretch>
                      <a:fillRect/>
                    </a:stretch>
                  </pic:blipFill>
                  <pic:spPr>
                    <a:xfrm>
                      <a:off x="0" y="0"/>
                      <a:ext cx="5943600" cy="1459104"/>
                    </a:xfrm>
                    <a:prstGeom prst="rect"/>
                  </pic:spPr>
                </pic:pic>
              </a:graphicData>
            </a:graphic>
          </wp:inline>
        </w:drawing>
      </w:r>
    </w:p>
    <w:p>
      <w:pPr>
        <w:spacing w:line="240" w:lineRule="auto" w:after="240"/>
        <w:ind w:firstLine="0"/>
      </w:pPr>
      <w:r>
        <w:rPr>
          <w:sz w:val="22"/>
        </w:rPr>
        <w:t>Note. The two store totals add to 4,400, matching the product and fact totals.</w:t>
      </w:r>
    </w:p>
    <w:p>
      <w:r>
        <w:br w:type="page"/>
      </w:r>
    </w:p>
    <w:p>
      <w:pPr>
        <w:pStyle w:val="Heading1"/>
      </w:pPr>
      <w:r>
        <w:t>Sales by Date and Customer</w:t>
      </w:r>
    </w:p>
    <w:p>
      <w:pPr>
        <w:ind w:firstLine="720"/>
      </w:pPr>
      <w:r>
        <w:t>All four sales occur in January 2023. January 12 has the largest daily amount, 2,200, from Bob's purchase of two iPhone 14 units. Joining the date dimension gives year 2023, month 1 and monthly revenue of 4,400. Table 5 lists each daily result.</w:t>
      </w:r>
    </w:p>
    <w:p>
      <w:pPr>
        <w:keepNext/>
        <w:ind w:firstLine="0"/>
      </w:pPr>
      <w:r>
        <w:rPr>
          <w:b/>
        </w:rPr>
        <w:t>Table 5</w:t>
      </w:r>
    </w:p>
    <w:p>
      <w:pPr>
        <w:keepNext/>
        <w:ind w:firstLine="0"/>
      </w:pPr>
      <w:r>
        <w:rPr>
          <w:i/>
        </w:rPr>
        <w:t>Daily Sales</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Pr>
      <w:tblGrid>
        <w:gridCol w:w="4320"/>
        <w:gridCol w:w="2160"/>
        <w:gridCol w:w="2880"/>
      </w:tblGrid>
      <w:tr>
        <w:trPr>
          <w:tblHeader/>
        </w:trPr>
        <w:tc>
          <w:tcPr>
            <w:tcW w:type="dxa" w:w="4320"/>
            <w:tcMar>
              <w:top w:w="65" w:type="dxa"/>
              <w:bottom w:w="65" w:type="dxa"/>
              <w:left w:w="65" w:type="dxa"/>
              <w:right w:w="65" w:type="dxa"/>
            </w:tcMar>
            <w:tcBorders>
              <w:bottom w:val="single" w:sz="6" w:color="000000"/>
            </w:tcBorders>
          </w:tcPr>
          <w:p>
            <w:pPr>
              <w:spacing w:line="264" w:lineRule="auto"/>
              <w:ind w:firstLine="0"/>
              <w:jc w:val="left"/>
            </w:pPr>
            <w:r>
              <w:rPr>
                <w:b/>
                <w:sz w:val="24"/>
              </w:rPr>
              <w:t>Date</w:t>
            </w:r>
          </w:p>
        </w:tc>
        <w:tc>
          <w:tcPr>
            <w:tcW w:type="dxa" w:w="2160"/>
            <w:tcMar>
              <w:top w:w="65" w:type="dxa"/>
              <w:bottom w:w="65" w:type="dxa"/>
              <w:left w:w="65" w:type="dxa"/>
              <w:right w:w="65" w:type="dxa"/>
            </w:tcMar>
            <w:tcBorders>
              <w:bottom w:val="single" w:sz="6" w:color="000000"/>
            </w:tcBorders>
          </w:tcPr>
          <w:p>
            <w:pPr>
              <w:spacing w:line="264" w:lineRule="auto"/>
              <w:ind w:firstLine="0"/>
              <w:jc w:val="center"/>
            </w:pPr>
            <w:r>
              <w:rPr>
                <w:b/>
                <w:sz w:val="24"/>
              </w:rPr>
              <w:t>Units</w:t>
            </w:r>
          </w:p>
        </w:tc>
        <w:tc>
          <w:tcPr>
            <w:tcW w:type="dxa" w:w="2880"/>
            <w:tcMar>
              <w:top w:w="65" w:type="dxa"/>
              <w:bottom w:w="65" w:type="dxa"/>
              <w:left w:w="65" w:type="dxa"/>
              <w:right w:w="65" w:type="dxa"/>
            </w:tcMar>
            <w:tcBorders>
              <w:bottom w:val="single" w:sz="6" w:color="000000"/>
            </w:tcBorders>
          </w:tcPr>
          <w:p>
            <w:pPr>
              <w:spacing w:line="264" w:lineRule="auto"/>
              <w:ind w:firstLine="0"/>
              <w:jc w:val="center"/>
            </w:pPr>
            <w:r>
              <w:rPr>
                <w:b/>
                <w:sz w:val="24"/>
              </w:rPr>
              <w:t>Revenue</w:t>
            </w:r>
          </w:p>
        </w:tc>
      </w:tr>
      <w:tr>
        <w:tc>
          <w:tcPr>
            <w:tcW w:type="dxa" w:w="4320"/>
            <w:tcMar>
              <w:top w:w="65" w:type="dxa"/>
              <w:bottom w:w="65" w:type="dxa"/>
              <w:left w:w="65" w:type="dxa"/>
              <w:right w:w="65" w:type="dxa"/>
            </w:tcMar>
          </w:tcPr>
          <w:p>
            <w:pPr>
              <w:spacing w:line="264" w:lineRule="auto"/>
              <w:ind w:firstLine="0"/>
              <w:jc w:val="left"/>
            </w:pPr>
            <w:r>
              <w:rPr>
                <w:b w:val="0"/>
                <w:sz w:val="24"/>
              </w:rPr>
              <w:t>2023-01-10</w:t>
            </w:r>
          </w:p>
        </w:tc>
        <w:tc>
          <w:tcPr>
            <w:tcW w:type="dxa" w:w="2160"/>
            <w:tcMar>
              <w:top w:w="65" w:type="dxa"/>
              <w:bottom w:w="65" w:type="dxa"/>
              <w:left w:w="65" w:type="dxa"/>
              <w:right w:w="65" w:type="dxa"/>
            </w:tcMar>
          </w:tcPr>
          <w:p>
            <w:pPr>
              <w:spacing w:line="264" w:lineRule="auto"/>
              <w:ind w:firstLine="0"/>
              <w:jc w:val="center"/>
            </w:pPr>
            <w:r>
              <w:rPr>
                <w:b w:val="0"/>
                <w:sz w:val="24"/>
              </w:rPr>
              <w:t>1</w:t>
            </w:r>
          </w:p>
        </w:tc>
        <w:tc>
          <w:tcPr>
            <w:tcW w:type="dxa" w:w="2880"/>
            <w:tcMar>
              <w:top w:w="65" w:type="dxa"/>
              <w:bottom w:w="65" w:type="dxa"/>
              <w:left w:w="65" w:type="dxa"/>
              <w:right w:w="65" w:type="dxa"/>
            </w:tcMar>
          </w:tcPr>
          <w:p>
            <w:pPr>
              <w:spacing w:line="264" w:lineRule="auto"/>
              <w:ind w:firstLine="0"/>
              <w:jc w:val="center"/>
            </w:pPr>
            <w:r>
              <w:rPr>
                <w:b w:val="0"/>
                <w:sz w:val="24"/>
              </w:rPr>
              <w:t>900</w:t>
            </w:r>
          </w:p>
        </w:tc>
      </w:tr>
      <w:tr>
        <w:tc>
          <w:tcPr>
            <w:tcW w:type="dxa" w:w="4320"/>
            <w:tcMar>
              <w:top w:w="65" w:type="dxa"/>
              <w:bottom w:w="65" w:type="dxa"/>
              <w:left w:w="65" w:type="dxa"/>
              <w:right w:w="65" w:type="dxa"/>
            </w:tcMar>
          </w:tcPr>
          <w:p>
            <w:pPr>
              <w:spacing w:line="264" w:lineRule="auto"/>
              <w:ind w:firstLine="0"/>
              <w:jc w:val="left"/>
            </w:pPr>
            <w:r>
              <w:rPr>
                <w:b w:val="0"/>
                <w:sz w:val="24"/>
              </w:rPr>
              <w:t>2023-01-12</w:t>
            </w:r>
          </w:p>
        </w:tc>
        <w:tc>
          <w:tcPr>
            <w:tcW w:type="dxa" w:w="2160"/>
            <w:tcMar>
              <w:top w:w="65" w:type="dxa"/>
              <w:bottom w:w="65" w:type="dxa"/>
              <w:left w:w="65" w:type="dxa"/>
              <w:right w:w="65" w:type="dxa"/>
            </w:tcMar>
          </w:tcPr>
          <w:p>
            <w:pPr>
              <w:spacing w:line="264" w:lineRule="auto"/>
              <w:ind w:firstLine="0"/>
              <w:jc w:val="center"/>
            </w:pPr>
            <w:r>
              <w:rPr>
                <w:b w:val="0"/>
                <w:sz w:val="24"/>
              </w:rPr>
              <w:t>2</w:t>
            </w:r>
          </w:p>
        </w:tc>
        <w:tc>
          <w:tcPr>
            <w:tcW w:type="dxa" w:w="2880"/>
            <w:tcMar>
              <w:top w:w="65" w:type="dxa"/>
              <w:bottom w:w="65" w:type="dxa"/>
              <w:left w:w="65" w:type="dxa"/>
              <w:right w:w="65" w:type="dxa"/>
            </w:tcMar>
          </w:tcPr>
          <w:p>
            <w:pPr>
              <w:spacing w:line="264" w:lineRule="auto"/>
              <w:ind w:firstLine="0"/>
              <w:jc w:val="center"/>
            </w:pPr>
            <w:r>
              <w:rPr>
                <w:b w:val="0"/>
                <w:sz w:val="24"/>
              </w:rPr>
              <w:t>2200</w:t>
            </w:r>
          </w:p>
        </w:tc>
      </w:tr>
      <w:tr>
        <w:tc>
          <w:tcPr>
            <w:tcW w:type="dxa" w:w="4320"/>
            <w:tcMar>
              <w:top w:w="65" w:type="dxa"/>
              <w:bottom w:w="65" w:type="dxa"/>
              <w:left w:w="65" w:type="dxa"/>
              <w:right w:w="65" w:type="dxa"/>
            </w:tcMar>
          </w:tcPr>
          <w:p>
            <w:pPr>
              <w:spacing w:line="264" w:lineRule="auto"/>
              <w:ind w:firstLine="0"/>
              <w:jc w:val="left"/>
            </w:pPr>
            <w:r>
              <w:rPr>
                <w:b w:val="0"/>
                <w:sz w:val="24"/>
              </w:rPr>
              <w:t>2023-01-15</w:t>
            </w:r>
          </w:p>
        </w:tc>
        <w:tc>
          <w:tcPr>
            <w:tcW w:type="dxa" w:w="2160"/>
            <w:tcMar>
              <w:top w:w="65" w:type="dxa"/>
              <w:bottom w:w="65" w:type="dxa"/>
              <w:left w:w="65" w:type="dxa"/>
              <w:right w:w="65" w:type="dxa"/>
            </w:tcMar>
          </w:tcPr>
          <w:p>
            <w:pPr>
              <w:spacing w:line="264" w:lineRule="auto"/>
              <w:ind w:firstLine="0"/>
              <w:jc w:val="center"/>
            </w:pPr>
            <w:r>
              <w:rPr>
                <w:b w:val="0"/>
                <w:sz w:val="24"/>
              </w:rPr>
              <w:t>1</w:t>
            </w:r>
          </w:p>
        </w:tc>
        <w:tc>
          <w:tcPr>
            <w:tcW w:type="dxa" w:w="2880"/>
            <w:tcMar>
              <w:top w:w="65" w:type="dxa"/>
              <w:bottom w:w="65" w:type="dxa"/>
              <w:left w:w="65" w:type="dxa"/>
              <w:right w:w="65" w:type="dxa"/>
            </w:tcMar>
          </w:tcPr>
          <w:p>
            <w:pPr>
              <w:spacing w:line="264" w:lineRule="auto"/>
              <w:ind w:firstLine="0"/>
              <w:jc w:val="center"/>
            </w:pPr>
            <w:r>
              <w:rPr>
                <w:b w:val="0"/>
                <w:sz w:val="24"/>
              </w:rPr>
              <w:t>900</w:t>
            </w:r>
          </w:p>
        </w:tc>
      </w:tr>
      <w:tr>
        <w:tc>
          <w:tcPr>
            <w:tcW w:type="dxa" w:w="4320"/>
            <w:tcMar>
              <w:top w:w="65" w:type="dxa"/>
              <w:bottom w:w="65" w:type="dxa"/>
              <w:left w:w="65" w:type="dxa"/>
              <w:right w:w="65" w:type="dxa"/>
            </w:tcMar>
          </w:tcPr>
          <w:p>
            <w:pPr>
              <w:spacing w:line="264" w:lineRule="auto"/>
              <w:ind w:firstLine="0"/>
              <w:jc w:val="left"/>
            </w:pPr>
            <w:r>
              <w:rPr>
                <w:b w:val="0"/>
                <w:sz w:val="24"/>
              </w:rPr>
              <w:t>2023-01-20</w:t>
            </w:r>
          </w:p>
        </w:tc>
        <w:tc>
          <w:tcPr>
            <w:tcW w:type="dxa" w:w="2160"/>
            <w:tcMar>
              <w:top w:w="65" w:type="dxa"/>
              <w:bottom w:w="65" w:type="dxa"/>
              <w:left w:w="65" w:type="dxa"/>
              <w:right w:w="65" w:type="dxa"/>
            </w:tcMar>
          </w:tcPr>
          <w:p>
            <w:pPr>
              <w:spacing w:line="264" w:lineRule="auto"/>
              <w:ind w:firstLine="0"/>
              <w:jc w:val="center"/>
            </w:pPr>
            <w:r>
              <w:rPr>
                <w:b w:val="0"/>
                <w:sz w:val="24"/>
              </w:rPr>
              <w:t>2</w:t>
            </w:r>
          </w:p>
        </w:tc>
        <w:tc>
          <w:tcPr>
            <w:tcW w:type="dxa" w:w="2880"/>
            <w:tcMar>
              <w:top w:w="65" w:type="dxa"/>
              <w:bottom w:w="65" w:type="dxa"/>
              <w:left w:w="65" w:type="dxa"/>
              <w:right w:w="65" w:type="dxa"/>
            </w:tcMar>
          </w:tcPr>
          <w:p>
            <w:pPr>
              <w:spacing w:line="264" w:lineRule="auto"/>
              <w:ind w:firstLine="0"/>
              <w:jc w:val="center"/>
            </w:pPr>
            <w:r>
              <w:rPr>
                <w:b w:val="0"/>
                <w:sz w:val="24"/>
              </w:rPr>
              <w:t>400</w:t>
            </w:r>
          </w:p>
        </w:tc>
      </w:tr>
    </w:tbl>
    <w:p>
      <w:pPr>
        <w:spacing w:line="240" w:lineRule="auto"/>
        <w:ind w:firstLine="0"/>
      </w:pPr>
    </w:p>
    <w:p>
      <w:pPr>
        <w:ind w:firstLine="720"/>
      </w:pPr>
      <w:r>
        <w:t>Alice has two purchase records and buys three units, contributing 1,300. Bob has one purchase record and buys two units, contributing 2,200. Charlie buys one unit in one record, contributing 900. Purchases in Table 6 means the number of sale records, rather than the number of units.</w:t>
      </w:r>
    </w:p>
    <w:p>
      <w:pPr>
        <w:keepNext/>
        <w:ind w:firstLine="0"/>
      </w:pPr>
      <w:r>
        <w:rPr>
          <w:b/>
        </w:rPr>
        <w:t>Table 6</w:t>
      </w:r>
    </w:p>
    <w:p>
      <w:pPr>
        <w:keepNext/>
        <w:ind w:firstLine="0"/>
      </w:pPr>
      <w:r>
        <w:rPr>
          <w:i/>
        </w:rPr>
        <w:t>Customer Purchases</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Pr>
      <w:tblGrid>
        <w:gridCol w:w="3600"/>
        <w:gridCol w:w="2016"/>
        <w:gridCol w:w="1440"/>
        <w:gridCol w:w="2304"/>
      </w:tblGrid>
      <w:tr>
        <w:trPr>
          <w:tblHeader/>
        </w:trPr>
        <w:tc>
          <w:tcPr>
            <w:tcW w:type="dxa" w:w="3600"/>
            <w:tcMar>
              <w:top w:w="65" w:type="dxa"/>
              <w:bottom w:w="65" w:type="dxa"/>
              <w:left w:w="65" w:type="dxa"/>
              <w:right w:w="65" w:type="dxa"/>
            </w:tcMar>
            <w:tcBorders>
              <w:bottom w:val="single" w:sz="6" w:color="000000"/>
            </w:tcBorders>
          </w:tcPr>
          <w:p>
            <w:pPr>
              <w:spacing w:line="264" w:lineRule="auto"/>
              <w:ind w:firstLine="0"/>
              <w:jc w:val="left"/>
            </w:pPr>
            <w:r>
              <w:rPr>
                <w:b/>
                <w:sz w:val="24"/>
              </w:rPr>
              <w:t>Customer</w:t>
            </w:r>
          </w:p>
        </w:tc>
        <w:tc>
          <w:tcPr>
            <w:tcW w:type="dxa" w:w="2016"/>
            <w:tcMar>
              <w:top w:w="65" w:type="dxa"/>
              <w:bottom w:w="65" w:type="dxa"/>
              <w:left w:w="65" w:type="dxa"/>
              <w:right w:w="65" w:type="dxa"/>
            </w:tcMar>
            <w:tcBorders>
              <w:bottom w:val="single" w:sz="6" w:color="000000"/>
            </w:tcBorders>
          </w:tcPr>
          <w:p>
            <w:pPr>
              <w:spacing w:line="264" w:lineRule="auto"/>
              <w:ind w:firstLine="0"/>
              <w:jc w:val="center"/>
            </w:pPr>
            <w:r>
              <w:rPr>
                <w:b/>
                <w:sz w:val="24"/>
              </w:rPr>
              <w:t>Purchases</w:t>
            </w:r>
          </w:p>
        </w:tc>
        <w:tc>
          <w:tcPr>
            <w:tcW w:type="dxa" w:w="1440"/>
            <w:tcMar>
              <w:top w:w="65" w:type="dxa"/>
              <w:bottom w:w="65" w:type="dxa"/>
              <w:left w:w="65" w:type="dxa"/>
              <w:right w:w="65" w:type="dxa"/>
            </w:tcMar>
            <w:tcBorders>
              <w:bottom w:val="single" w:sz="6" w:color="000000"/>
            </w:tcBorders>
          </w:tcPr>
          <w:p>
            <w:pPr>
              <w:spacing w:line="264" w:lineRule="auto"/>
              <w:ind w:firstLine="0"/>
              <w:jc w:val="center"/>
            </w:pPr>
            <w:r>
              <w:rPr>
                <w:b/>
                <w:sz w:val="24"/>
              </w:rPr>
              <w:t>Units</w:t>
            </w:r>
          </w:p>
        </w:tc>
        <w:tc>
          <w:tcPr>
            <w:tcW w:type="dxa" w:w="2304"/>
            <w:tcMar>
              <w:top w:w="65" w:type="dxa"/>
              <w:bottom w:w="65" w:type="dxa"/>
              <w:left w:w="65" w:type="dxa"/>
              <w:right w:w="65" w:type="dxa"/>
            </w:tcMar>
            <w:tcBorders>
              <w:bottom w:val="single" w:sz="6" w:color="000000"/>
            </w:tcBorders>
          </w:tcPr>
          <w:p>
            <w:pPr>
              <w:spacing w:line="264" w:lineRule="auto"/>
              <w:ind w:firstLine="0"/>
              <w:jc w:val="center"/>
            </w:pPr>
            <w:r>
              <w:rPr>
                <w:b/>
                <w:sz w:val="24"/>
              </w:rPr>
              <w:t>Revenue</w:t>
            </w:r>
          </w:p>
        </w:tc>
      </w:tr>
      <w:tr>
        <w:tc>
          <w:tcPr>
            <w:tcW w:type="dxa" w:w="3600"/>
            <w:tcMar>
              <w:top w:w="65" w:type="dxa"/>
              <w:bottom w:w="65" w:type="dxa"/>
              <w:left w:w="65" w:type="dxa"/>
              <w:right w:w="65" w:type="dxa"/>
            </w:tcMar>
          </w:tcPr>
          <w:p>
            <w:pPr>
              <w:spacing w:line="264" w:lineRule="auto"/>
              <w:ind w:firstLine="0"/>
              <w:jc w:val="left"/>
            </w:pPr>
            <w:r>
              <w:rPr>
                <w:b w:val="0"/>
                <w:sz w:val="24"/>
              </w:rPr>
              <w:t>Alice</w:t>
            </w:r>
          </w:p>
        </w:tc>
        <w:tc>
          <w:tcPr>
            <w:tcW w:type="dxa" w:w="2016"/>
            <w:tcMar>
              <w:top w:w="65" w:type="dxa"/>
              <w:bottom w:w="65" w:type="dxa"/>
              <w:left w:w="65" w:type="dxa"/>
              <w:right w:w="65" w:type="dxa"/>
            </w:tcMar>
          </w:tcPr>
          <w:p>
            <w:pPr>
              <w:spacing w:line="264" w:lineRule="auto"/>
              <w:ind w:firstLine="0"/>
              <w:jc w:val="center"/>
            </w:pPr>
            <w:r>
              <w:rPr>
                <w:b w:val="0"/>
                <w:sz w:val="24"/>
              </w:rPr>
              <w:t>2</w:t>
            </w:r>
          </w:p>
        </w:tc>
        <w:tc>
          <w:tcPr>
            <w:tcW w:type="dxa" w:w="1440"/>
            <w:tcMar>
              <w:top w:w="65" w:type="dxa"/>
              <w:bottom w:w="65" w:type="dxa"/>
              <w:left w:w="65" w:type="dxa"/>
              <w:right w:w="65" w:type="dxa"/>
            </w:tcMar>
          </w:tcPr>
          <w:p>
            <w:pPr>
              <w:spacing w:line="264" w:lineRule="auto"/>
              <w:ind w:firstLine="0"/>
              <w:jc w:val="center"/>
            </w:pPr>
            <w:r>
              <w:rPr>
                <w:b w:val="0"/>
                <w:sz w:val="24"/>
              </w:rPr>
              <w:t>3</w:t>
            </w:r>
          </w:p>
        </w:tc>
        <w:tc>
          <w:tcPr>
            <w:tcW w:type="dxa" w:w="2304"/>
            <w:tcMar>
              <w:top w:w="65" w:type="dxa"/>
              <w:bottom w:w="65" w:type="dxa"/>
              <w:left w:w="65" w:type="dxa"/>
              <w:right w:w="65" w:type="dxa"/>
            </w:tcMar>
          </w:tcPr>
          <w:p>
            <w:pPr>
              <w:spacing w:line="264" w:lineRule="auto"/>
              <w:ind w:firstLine="0"/>
              <w:jc w:val="center"/>
            </w:pPr>
            <w:r>
              <w:rPr>
                <w:b w:val="0"/>
                <w:sz w:val="24"/>
              </w:rPr>
              <w:t>1300</w:t>
            </w:r>
          </w:p>
        </w:tc>
      </w:tr>
      <w:tr>
        <w:tc>
          <w:tcPr>
            <w:tcW w:type="dxa" w:w="3600"/>
            <w:tcMar>
              <w:top w:w="65" w:type="dxa"/>
              <w:bottom w:w="65" w:type="dxa"/>
              <w:left w:w="65" w:type="dxa"/>
              <w:right w:w="65" w:type="dxa"/>
            </w:tcMar>
          </w:tcPr>
          <w:p>
            <w:pPr>
              <w:spacing w:line="264" w:lineRule="auto"/>
              <w:ind w:firstLine="0"/>
              <w:jc w:val="left"/>
            </w:pPr>
            <w:r>
              <w:rPr>
                <w:b w:val="0"/>
                <w:sz w:val="24"/>
              </w:rPr>
              <w:t>Bob</w:t>
            </w:r>
          </w:p>
        </w:tc>
        <w:tc>
          <w:tcPr>
            <w:tcW w:type="dxa" w:w="2016"/>
            <w:tcMar>
              <w:top w:w="65" w:type="dxa"/>
              <w:bottom w:w="65" w:type="dxa"/>
              <w:left w:w="65" w:type="dxa"/>
              <w:right w:w="65" w:type="dxa"/>
            </w:tcMar>
          </w:tcPr>
          <w:p>
            <w:pPr>
              <w:spacing w:line="264" w:lineRule="auto"/>
              <w:ind w:firstLine="0"/>
              <w:jc w:val="center"/>
            </w:pPr>
            <w:r>
              <w:rPr>
                <w:b w:val="0"/>
                <w:sz w:val="24"/>
              </w:rPr>
              <w:t>1</w:t>
            </w:r>
          </w:p>
        </w:tc>
        <w:tc>
          <w:tcPr>
            <w:tcW w:type="dxa" w:w="1440"/>
            <w:tcMar>
              <w:top w:w="65" w:type="dxa"/>
              <w:bottom w:w="65" w:type="dxa"/>
              <w:left w:w="65" w:type="dxa"/>
              <w:right w:w="65" w:type="dxa"/>
            </w:tcMar>
          </w:tcPr>
          <w:p>
            <w:pPr>
              <w:spacing w:line="264" w:lineRule="auto"/>
              <w:ind w:firstLine="0"/>
              <w:jc w:val="center"/>
            </w:pPr>
            <w:r>
              <w:rPr>
                <w:b w:val="0"/>
                <w:sz w:val="24"/>
              </w:rPr>
              <w:t>2</w:t>
            </w:r>
          </w:p>
        </w:tc>
        <w:tc>
          <w:tcPr>
            <w:tcW w:type="dxa" w:w="2304"/>
            <w:tcMar>
              <w:top w:w="65" w:type="dxa"/>
              <w:bottom w:w="65" w:type="dxa"/>
              <w:left w:w="65" w:type="dxa"/>
              <w:right w:w="65" w:type="dxa"/>
            </w:tcMar>
          </w:tcPr>
          <w:p>
            <w:pPr>
              <w:spacing w:line="264" w:lineRule="auto"/>
              <w:ind w:firstLine="0"/>
              <w:jc w:val="center"/>
            </w:pPr>
            <w:r>
              <w:rPr>
                <w:b w:val="0"/>
                <w:sz w:val="24"/>
              </w:rPr>
              <w:t>2200</w:t>
            </w:r>
          </w:p>
        </w:tc>
      </w:tr>
      <w:tr>
        <w:tc>
          <w:tcPr>
            <w:tcW w:type="dxa" w:w="3600"/>
            <w:tcMar>
              <w:top w:w="65" w:type="dxa"/>
              <w:bottom w:w="65" w:type="dxa"/>
              <w:left w:w="65" w:type="dxa"/>
              <w:right w:w="65" w:type="dxa"/>
            </w:tcMar>
          </w:tcPr>
          <w:p>
            <w:pPr>
              <w:spacing w:line="264" w:lineRule="auto"/>
              <w:ind w:firstLine="0"/>
              <w:jc w:val="left"/>
            </w:pPr>
            <w:r>
              <w:rPr>
                <w:b w:val="0"/>
                <w:sz w:val="24"/>
              </w:rPr>
              <w:t>Charlie</w:t>
            </w:r>
          </w:p>
        </w:tc>
        <w:tc>
          <w:tcPr>
            <w:tcW w:type="dxa" w:w="2016"/>
            <w:tcMar>
              <w:top w:w="65" w:type="dxa"/>
              <w:bottom w:w="65" w:type="dxa"/>
              <w:left w:w="65" w:type="dxa"/>
              <w:right w:w="65" w:type="dxa"/>
            </w:tcMar>
          </w:tcPr>
          <w:p>
            <w:pPr>
              <w:spacing w:line="264" w:lineRule="auto"/>
              <w:ind w:firstLine="0"/>
              <w:jc w:val="center"/>
            </w:pPr>
            <w:r>
              <w:rPr>
                <w:b w:val="0"/>
                <w:sz w:val="24"/>
              </w:rPr>
              <w:t>1</w:t>
            </w:r>
          </w:p>
        </w:tc>
        <w:tc>
          <w:tcPr>
            <w:tcW w:type="dxa" w:w="1440"/>
            <w:tcMar>
              <w:top w:w="65" w:type="dxa"/>
              <w:bottom w:w="65" w:type="dxa"/>
              <w:left w:w="65" w:type="dxa"/>
              <w:right w:w="65" w:type="dxa"/>
            </w:tcMar>
          </w:tcPr>
          <w:p>
            <w:pPr>
              <w:spacing w:line="264" w:lineRule="auto"/>
              <w:ind w:firstLine="0"/>
              <w:jc w:val="center"/>
            </w:pPr>
            <w:r>
              <w:rPr>
                <w:b w:val="0"/>
                <w:sz w:val="24"/>
              </w:rPr>
              <w:t>1</w:t>
            </w:r>
          </w:p>
        </w:tc>
        <w:tc>
          <w:tcPr>
            <w:tcW w:type="dxa" w:w="2304"/>
            <w:tcMar>
              <w:top w:w="65" w:type="dxa"/>
              <w:bottom w:w="65" w:type="dxa"/>
              <w:left w:w="65" w:type="dxa"/>
              <w:right w:w="65" w:type="dxa"/>
            </w:tcMar>
          </w:tcPr>
          <w:p>
            <w:pPr>
              <w:spacing w:line="264" w:lineRule="auto"/>
              <w:ind w:firstLine="0"/>
              <w:jc w:val="center"/>
            </w:pPr>
            <w:r>
              <w:rPr>
                <w:b w:val="0"/>
                <w:sz w:val="24"/>
              </w:rPr>
              <w:t>900</w:t>
            </w:r>
          </w:p>
        </w:tc>
      </w:tr>
    </w:tbl>
    <w:p>
      <w:pPr>
        <w:spacing w:line="240" w:lineRule="auto"/>
        <w:ind w:firstLine="0"/>
      </w:pPr>
    </w:p>
    <w:p>
      <w:pPr>
        <w:ind w:firstLine="720"/>
      </w:pPr>
      <w:r>
        <w:t>Figure 12 presents the actual daily, monthly and customer query results. Daily and customer amounts both add to 4,400, and the daily and customer quantities both add to six.</w:t>
      </w:r>
    </w:p>
    <w:p>
      <w:r>
        <w:br w:type="page"/>
      </w:r>
    </w:p>
    <w:p>
      <w:pPr>
        <w:keepNext/>
        <w:ind w:firstLine="0"/>
      </w:pPr>
      <w:r>
        <w:rPr>
          <w:b/>
        </w:rPr>
        <w:t>Figure 12</w:t>
      </w:r>
    </w:p>
    <w:p>
      <w:pPr>
        <w:keepNext/>
        <w:ind w:firstLine="0"/>
      </w:pPr>
      <w:r>
        <w:rPr>
          <w:i/>
        </w:rPr>
        <w:t>Daily Monthly and Customer Query Results</w:t>
      </w:r>
    </w:p>
    <w:p>
      <w:pPr>
        <w:keepNext/>
        <w:spacing w:line="240" w:lineRule="auto"/>
        <w:ind w:firstLine="0"/>
      </w:pPr>
      <w:r>
        <w:drawing>
          <wp:inline xmlns:a="http://schemas.openxmlformats.org/drawingml/2006/main" xmlns:pic="http://schemas.openxmlformats.org/drawingml/2006/picture">
            <wp:extent cx="5943600" cy="2288926"/>
            <wp:docPr id="12" name="Picture 12" descr="Daily Monthly and Customer Query Results Actual console capture from the project."/>
            <wp:cNvGraphicFramePr>
              <a:graphicFrameLocks noChangeAspect="1"/>
            </wp:cNvGraphicFramePr>
            <a:graphic>
              <a:graphicData uri="http://schemas.openxmlformats.org/drawingml/2006/picture">
                <pic:pic>
                  <pic:nvPicPr>
                    <pic:cNvPr id="0" name="11.png"/>
                    <pic:cNvPicPr/>
                  </pic:nvPicPr>
                  <pic:blipFill>
                    <a:blip r:embed="rId21"/>
                    <a:stretch>
                      <a:fillRect/>
                    </a:stretch>
                  </pic:blipFill>
                  <pic:spPr>
                    <a:xfrm>
                      <a:off x="0" y="0"/>
                      <a:ext cx="5943600" cy="2288926"/>
                    </a:xfrm>
                    <a:prstGeom prst="rect"/>
                  </pic:spPr>
                </pic:pic>
              </a:graphicData>
            </a:graphic>
          </wp:inline>
        </w:drawing>
      </w:r>
    </w:p>
    <w:p>
      <w:pPr>
        <w:spacing w:line="240" w:lineRule="auto" w:after="240"/>
        <w:ind w:firstLine="0"/>
      </w:pPr>
      <w:r>
        <w:rPr>
          <w:sz w:val="22"/>
        </w:rPr>
        <w:t>Note. The screenshot shows the SQL statements and complete output tables for the three reports.</w:t>
      </w:r>
    </w:p>
    <w:p>
      <w:pPr>
        <w:pStyle w:val="Heading1"/>
      </w:pPr>
      <w:r>
        <w:t>Interpreting the Results</w:t>
      </w:r>
    </w:p>
    <w:p>
      <w:pPr>
        <w:ind w:firstLine="720"/>
      </w:pPr>
      <w:r>
        <w:t>The reporting queries agree because they summarize the same four fact records through different dimensions. The sample is useful for demonstrating joins and aggregation, but it is too small to support conclusions about seasonal demand, customer loyalty or long-term store performance.</w:t>
      </w:r>
    </w:p>
    <w:p>
      <w:r>
        <w:br w:type="page"/>
      </w:r>
    </w:p>
    <w:p>
      <w:pPr>
        <w:pStyle w:val="Heading1"/>
      </w:pPr>
      <w:r>
        <w:t>Discussion and Practical Limits</w:t>
      </w:r>
    </w:p>
    <w:p>
      <w:pPr>
        <w:ind w:firstLine="720"/>
      </w:pPr>
      <w:r>
        <w:t>The Medallion stages make the processing easier to follow. Bronze preserves incoming values, Silver establishes usable records, and Gold presents the business measures. The star schema keeps quantities and amounts in the fact and descriptive information in the dimensions, giving each reporting query a clear join path.</w:t>
      </w:r>
    </w:p>
    <w:p>
      <w:pPr>
        <w:ind w:firstLine="720"/>
      </w:pPr>
      <w:r>
        <w:t>Partitioning by date organizes sales by day and supports pruning for date-filtered queries. Queries covering the whole sample still need all relevant partitions. Hive's SHOW PARTITIONS and DESCRIBE statements provide direct checks of partition definitions and storage metadata (Apache Software Foundation, 2024).</w:t>
      </w:r>
    </w:p>
    <w:p>
      <w:pPr>
        <w:ind w:firstLine="720"/>
      </w:pPr>
      <w:r>
        <w:t>An early parallel query attempt ran out of memory in the course environment. The final Hive service uses a 2 GB heap and a 16 MB sorting buffer, and the captured queries completed successfully. Java subprocesses use FORK, and the optional Spark UI is disabled to avoid issues observed with ARM emulation.</w:t>
      </w:r>
    </w:p>
    <w:p>
      <w:pPr>
        <w:ind w:firstLine="720"/>
      </w:pPr>
      <w:r>
        <w:t>The current pipeline overwrites a complete snapshot. A daily production system would need incremental ingestion, rejected-record reporting, scheduling and historical price handling. Decimal currency types would also be needed if prices include fractions. A complete calendar dimension would allow dates without sales to appear in reports.</w:t>
      </w:r>
    </w:p>
    <w:p>
      <w:pPr>
        <w:pStyle w:val="Heading1"/>
      </w:pPr>
      <w:r>
        <w:t>Conclusion</w:t>
      </w:r>
    </w:p>
    <w:p>
      <w:pPr>
        <w:ind w:firstLine="720"/>
      </w:pPr>
      <w:r>
        <w:t>The project produces a consistent warehouse from the supplied CSV files. The database, table schemas, HDFS directories, date partitions, record counts and samples are confirmed by the screenshots. Four sales records produce six units and revenue of 4,400, and every product, store, date and customer summary reconciles to that total.</w:t>
      </w:r>
    </w:p>
    <w:p>
      <w:r>
        <w:br w:type="page"/>
      </w:r>
    </w:p>
    <w:p>
      <w:pPr>
        <w:pStyle w:val="Heading1"/>
      </w:pPr>
      <w:r>
        <w:t>References</w:t>
      </w:r>
    </w:p>
    <w:p>
      <w:pPr>
        <w:ind w:left="720" w:hanging="720"/>
      </w:pPr>
      <w:r>
        <w:t xml:space="preserve">Apache Software Foundation. (2024, December 12). </w:t>
      </w:r>
      <w:r>
        <w:rPr>
          <w:i/>
        </w:rPr>
        <w:t>LanguageManual DDL</w:t>
      </w:r>
      <w:r>
        <w:t>. Apache Hive. https://hive.apache.org/docs/latest/language/languagemanual-ddl/</w:t>
      </w:r>
    </w:p>
    <w:p>
      <w:pPr>
        <w:ind w:left="720" w:hanging="720"/>
      </w:pPr>
      <w:r>
        <w:t xml:space="preserve">Apache Software Foundation. (n.d.). </w:t>
      </w:r>
      <w:r>
        <w:rPr>
          <w:i/>
        </w:rPr>
        <w:t>Overview</w:t>
      </w:r>
      <w:r>
        <w:t>. Apache Parquet. https://parquet.apache.org/docs/overview/</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ind w:firstLine="72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480" w:lineRule="auto" w:before="0"/>
    </w:pPr>
    <w:rPr>
      <w:rFonts w:ascii="Times New Roman" w:hAnsi="Times New Roman" w:eastAsia="Times New Roman" w:cs="Times New Roman"/>
      <w:color w:val="000000"/>
      <w:sz w:val="24"/>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sz w:val="24"/>
    </w:rPr>
  </w:style>
  <w:style w:type="paragraph" w:styleId="Footer">
    <w:name w:val="footer"/>
    <w:basedOn w:val="Normal"/>
    <w:link w:val="FooterChar"/>
    <w:uiPriority w:val="99"/>
    <w:unhideWhenUsed/>
    <w:rsid w:val="00E618BF"/>
    <w:pPr>
      <w:tabs>
        <w:tab w:val="center" w:pos="4680"/>
        <w:tab w:val="right" w:pos="9360"/>
      </w:tabs>
      <w:spacing w:after="0" w:line="480" w:lineRule="auto" w:before="0"/>
    </w:pPr>
    <w:rPr>
      <w:rFonts w:ascii="Times New Roman" w:hAnsi="Times New Roman" w:eastAsia="Times New Roman" w:cs="Times New Roman"/>
      <w:color w:val="000000"/>
      <w:sz w:val="24"/>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0" w:after="0" w:line="480" w:lineRule="auto"/>
      <w:ind w:firstLine="0"/>
      <w:jc w:val="center"/>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ind w:firstLine="0"/>
      <w:jc w:val="left"/>
      <w:outlineLvl w:val="1"/>
    </w:pPr>
    <w:rPr>
      <w:rFonts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outlineLvl w:val="2"/>
    </w:pPr>
    <w:rPr>
      <w:rFonts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0" w:after="0" w:line="480" w:lineRule="auto"/>
      <w:outlineLvl w:val="3"/>
    </w:pPr>
    <w:rPr>
      <w:rFonts w:cstheme="majorBidi" w:ascii="Times New Roman" w:hAnsi="Times New Roman"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0" w:after="0" w:line="480" w:lineRule="auto"/>
      <w:outlineLvl w:val="4"/>
    </w:pPr>
    <w:rPr>
      <w:rFonts w:cstheme="majorBidi" w:ascii="Times New Roman" w:hAnsi="Times New Roman" w:eastAsia="Times New Roman" w:cs="Times New Roman"/>
      <w:color w:val="000000"/>
      <w:sz w:val="24"/>
    </w:rPr>
  </w:style>
  <w:style w:type="paragraph" w:styleId="Heading6">
    <w:name w:val="heading 6"/>
    <w:basedOn w:val="Normal"/>
    <w:next w:val="Normal"/>
    <w:link w:val="Heading6Char"/>
    <w:uiPriority w:val="9"/>
    <w:semiHidden/>
    <w:unhideWhenUsed/>
    <w:qFormat/>
    <w:rsid w:val="00FC693F"/>
    <w:pPr>
      <w:keepNext/>
      <w:keepLines/>
      <w:spacing w:before="0" w:after="0" w:line="480" w:lineRule="auto"/>
      <w:outlineLvl w:val="5"/>
    </w:pPr>
    <w:rPr>
      <w:rFonts w:cstheme="majorBidi" w:ascii="Times New Roman" w:hAnsi="Times New Roman" w:eastAsia="Times New Roman" w:cs="Times New Roman"/>
      <w:i/>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0" w:after="0" w:line="480" w:lineRule="auto"/>
      <w:outlineLvl w:val="6"/>
    </w:pPr>
    <w:rPr>
      <w:rFonts w:cstheme="majorBidi" w:ascii="Times New Roman" w:hAnsi="Times New Roman" w:eastAsia="Times New Roman" w:cs="Times New Roman"/>
      <w:i/>
      <w:iCs/>
      <w:color w:val="000000"/>
      <w:sz w:val="24"/>
    </w:rPr>
  </w:style>
  <w:style w:type="paragraph" w:styleId="Heading8">
    <w:name w:val="heading 8"/>
    <w:basedOn w:val="Normal"/>
    <w:next w:val="Normal"/>
    <w:link w:val="Heading8Char"/>
    <w:uiPriority w:val="9"/>
    <w:semiHidden/>
    <w:unhideWhenUsed/>
    <w:qFormat/>
    <w:rsid w:val="00FC693F"/>
    <w:pPr>
      <w:keepNext/>
      <w:keepLines/>
      <w:spacing w:before="0" w:after="0" w:line="480" w:lineRule="auto"/>
      <w:outlineLvl w:val="7"/>
    </w:pPr>
    <w:rPr>
      <w:rFonts w:cstheme="majorBidi" w:ascii="Times New Roman" w:hAnsi="Times New Roman" w:eastAsia="Times New Roman" w:cs="Times New Roman"/>
      <w:color w:val="000000"/>
      <w:sz w:val="24"/>
      <w:szCs w:val="20"/>
    </w:rPr>
  </w:style>
  <w:style w:type="paragraph" w:styleId="Heading9">
    <w:name w:val="heading 9"/>
    <w:basedOn w:val="Normal"/>
    <w:next w:val="Normal"/>
    <w:link w:val="Heading9Char"/>
    <w:uiPriority w:val="9"/>
    <w:semiHidden/>
    <w:unhideWhenUsed/>
    <w:qFormat/>
    <w:rsid w:val="00FC693F"/>
    <w:pPr>
      <w:keepNext/>
      <w:keepLines/>
      <w:spacing w:before="0" w:after="0" w:line="480" w:lineRule="auto"/>
      <w:outlineLvl w:val="8"/>
    </w:pPr>
    <w:rPr>
      <w:rFonts w:cstheme="majorBidi" w:ascii="Times New Roman" w:hAnsi="Times New Roman" w:eastAsia="Times New Roman" w:cs="Times New Roman"/>
      <w:i/>
      <w:iCs/>
      <w:color w:val="000000"/>
      <w:sz w:val="24"/>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sz w:val="24"/>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480" w:lineRule="auto" w:before="0"/>
    </w:pPr>
    <w:rPr>
      <w:rFonts w:ascii="Times New Roman" w:hAnsi="Times New Roman" w:eastAsia="Times New Roman" w:cs="Times New Roman"/>
      <w:color w:val="000000"/>
      <w:sz w:val="24"/>
    </w:rPr>
  </w:style>
  <w:style w:type="character" w:customStyle="1" w:styleId="Heading1Char">
    <w:name w:val="Heading 1 Char"/>
    <w:basedOn w:val="DefaultParagraphFont"/>
    <w:link w:val="Heading1"/>
    <w:uiPriority w:val="9"/>
    <w:rsid w:val="00FC693F"/>
    <w:rPr>
      <w:rFonts w:cstheme="majorBidi" w:ascii="Times New Roman" w:hAnsi="Times New Roman" w:eastAsia="Times New Roman" w:cs="Times New Roman"/>
      <w:b/>
      <w:bCs/>
      <w:color w:val="000000"/>
      <w:sz w:val="24"/>
      <w:szCs w:val="28"/>
    </w:rPr>
  </w:style>
  <w:style w:type="character" w:customStyle="1" w:styleId="Heading2Char">
    <w:name w:val="Heading 2 Char"/>
    <w:basedOn w:val="DefaultParagraphFont"/>
    <w:link w:val="Heading2"/>
    <w:uiPriority w:val="9"/>
    <w:rsid w:val="00FC693F"/>
    <w:rPr>
      <w:rFonts w:cstheme="majorBidi" w:ascii="Times New Roman" w:hAnsi="Times New Roman" w:eastAsia="Times New Roman" w:cs="Times New Roman"/>
      <w:b/>
      <w:bCs/>
      <w:color w:val="000000"/>
      <w:sz w:val="24"/>
      <w:szCs w:val="26"/>
    </w:rPr>
  </w:style>
  <w:style w:type="character" w:customStyle="1" w:styleId="Heading3Char">
    <w:name w:val="Heading 3 Char"/>
    <w:basedOn w:val="DefaultParagraphFont"/>
    <w:link w:val="Heading3"/>
    <w:uiPriority w:val="9"/>
    <w:rsid w:val="00FC693F"/>
    <w:rPr>
      <w:rFonts w:cstheme="majorBidi" w:ascii="Times New Roman" w:hAnsi="Times New Roman" w:eastAsia="Times New Roman" w:cs="Times New Roman"/>
      <w:b/>
      <w:bCs/>
      <w:color w:val="000000"/>
      <w:sz w:val="24"/>
    </w:rPr>
  </w:style>
  <w:style w:type="paragraph" w:styleId="Title">
    <w:name w:val="Title"/>
    <w:basedOn w:val="Normal"/>
    <w:next w:val="Normal"/>
    <w:link w:val="TitleChar"/>
    <w:uiPriority w:val="10"/>
    <w:qFormat/>
    <w:rsid w:val="00FC693F"/>
    <w:pPr>
      <w:keepNext/>
      <w:spacing w:after="0" w:line="480" w:lineRule="auto" w:before="0"/>
      <w:ind w:firstLine="0"/>
      <w:contextualSpacing/>
      <w:jc w:val="center"/>
    </w:pPr>
    <w:rPr>
      <w:rFonts w:cstheme="majorBidi" w:ascii="Times New Roman" w:hAnsi="Times New Roman" w:eastAsia="Times New Roman" w:cs="Times New Roman"/>
      <w:b/>
      <w:color w:val="000000"/>
      <w:spacing w:val="5"/>
      <w:kern w:val="28"/>
      <w:sz w:val="24"/>
      <w:szCs w:val="52"/>
    </w:rPr>
  </w:style>
  <w:style w:type="character" w:customStyle="1" w:styleId="TitleChar">
    <w:name w:val="Title Char"/>
    <w:basedOn w:val="DefaultParagraphFont"/>
    <w:link w:val="Title"/>
    <w:uiPriority w:val="10"/>
    <w:rsid w:val="00FC693F"/>
    <w:rPr>
      <w:rFonts w:cstheme="majorBidi" w:ascii="Times New Roman" w:hAnsi="Times New Roman" w:eastAsia="Times New Roman" w:cs="Times New Roman"/>
      <w:color w:val="000000"/>
      <w:spacing w:val="5"/>
      <w:kern w:val="28"/>
      <w:sz w:val="24"/>
      <w:szCs w:val="52"/>
    </w:rPr>
  </w:style>
  <w:style w:type="paragraph" w:styleId="Subtitle">
    <w:name w:val="Subtitle"/>
    <w:basedOn w:val="Normal"/>
    <w:next w:val="Normal"/>
    <w:link w:val="SubtitleChar"/>
    <w:uiPriority w:val="11"/>
    <w:qFormat/>
    <w:rsid w:val="00FC693F"/>
    <w:pPr>
      <w:numPr>
        <w:ilvl w:val="1"/>
      </w:numPr>
      <w:spacing w:line="480" w:lineRule="auto" w:before="0" w:after="0"/>
    </w:pPr>
    <w:rPr>
      <w:rFonts w:cstheme="majorBidi"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spacing w:line="480" w:lineRule="auto" w:before="0" w:after="0"/>
      <w:ind w:left="720"/>
      <w:contextualSpacing/>
    </w:pPr>
    <w:rPr>
      <w:rFonts w:ascii="Times New Roman" w:hAnsi="Times New Roman" w:eastAsia="Times New Roman" w:cs="Times New Roman"/>
      <w:color w:val="000000"/>
      <w:sz w:val="24"/>
    </w:rPr>
  </w:style>
  <w:style w:type="paragraph" w:styleId="BodyText">
    <w:name w:val="Body Text"/>
    <w:basedOn w:val="Normal"/>
    <w:link w:val="BodyTextChar"/>
    <w:uiPriority w:val="99"/>
    <w:unhideWhenUsed/>
    <w:rsid w:val="00AA1D8D"/>
    <w:pPr>
      <w:spacing w:after="0" w:line="480" w:lineRule="auto" w:before="0"/>
    </w:pPr>
    <w:rPr>
      <w:rFonts w:ascii="Times New Roman" w:hAnsi="Times New Roman" w:eastAsia="Times New Roman" w:cs="Times New Roman"/>
      <w:color w:val="000000"/>
      <w:sz w:val="24"/>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sz w:val="24"/>
    </w:rPr>
  </w:style>
  <w:style w:type="paragraph" w:styleId="BodyText2">
    <w:name w:val="Body Text 2"/>
    <w:basedOn w:val="Normal"/>
    <w:link w:val="BodyText2Char"/>
    <w:uiPriority w:val="99"/>
    <w:unhideWhenUsed/>
    <w:rsid w:val="00AA1D8D"/>
    <w:pPr>
      <w:spacing w:after="0" w:line="480" w:lineRule="auto" w:before="0"/>
    </w:pPr>
    <w:rPr>
      <w:rFonts w:ascii="Times New Roman" w:hAnsi="Times New Roman" w:eastAsia="Times New Roman" w:cs="Times New Roman"/>
      <w:color w:val="000000"/>
      <w:sz w:val="24"/>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sz w:val="24"/>
    </w:rPr>
  </w:style>
  <w:style w:type="paragraph" w:styleId="BodyText3">
    <w:name w:val="Body Text 3"/>
    <w:basedOn w:val="Normal"/>
    <w:link w:val="BodyText3Char"/>
    <w:uiPriority w:val="99"/>
    <w:unhideWhenUsed/>
    <w:rsid w:val="00AA1D8D"/>
    <w:pPr>
      <w:spacing w:after="0" w:line="480" w:lineRule="auto" w:before="0"/>
    </w:pPr>
    <w:rPr>
      <w:rFonts w:ascii="Times New Roman" w:hAnsi="Times New Roman" w:eastAsia="Times New Roman" w:cs="Times New Roman"/>
      <w:color w:val="000000"/>
      <w:sz w:val="24"/>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24"/>
      <w:szCs w:val="16"/>
    </w:rPr>
  </w:style>
  <w:style w:type="paragraph" w:styleId="List">
    <w:name w:val="List"/>
    <w:basedOn w:val="Normal"/>
    <w:uiPriority w:val="99"/>
    <w:unhideWhenUsed/>
    <w:rsid w:val="00AA1D8D"/>
    <w:pPr>
      <w:spacing w:line="480" w:lineRule="auto" w:before="0" w:after="0"/>
      <w:ind w:left="360" w:hanging="360"/>
      <w:contextualSpacing/>
    </w:pPr>
    <w:rPr>
      <w:rFonts w:ascii="Times New Roman" w:hAnsi="Times New Roman" w:eastAsia="Times New Roman" w:cs="Times New Roman"/>
      <w:color w:val="000000"/>
      <w:sz w:val="24"/>
    </w:rPr>
  </w:style>
  <w:style w:type="paragraph" w:styleId="List2">
    <w:name w:val="List 2"/>
    <w:basedOn w:val="Normal"/>
    <w:uiPriority w:val="99"/>
    <w:unhideWhenUsed/>
    <w:rsid w:val="00326F90"/>
    <w:pPr>
      <w:spacing w:line="480" w:lineRule="auto" w:before="0" w:after="0"/>
      <w:ind w:left="720" w:hanging="360"/>
      <w:contextualSpacing/>
    </w:pPr>
    <w:rPr>
      <w:rFonts w:ascii="Times New Roman" w:hAnsi="Times New Roman" w:eastAsia="Times New Roman" w:cs="Times New Roman"/>
      <w:color w:val="000000"/>
      <w:sz w:val="24"/>
    </w:rPr>
  </w:style>
  <w:style w:type="paragraph" w:styleId="List3">
    <w:name w:val="List 3"/>
    <w:basedOn w:val="Normal"/>
    <w:uiPriority w:val="99"/>
    <w:unhideWhenUsed/>
    <w:rsid w:val="00326F90"/>
    <w:pPr>
      <w:spacing w:line="480" w:lineRule="auto" w:before="0" w:after="0"/>
      <w:ind w:left="1080" w:hanging="360"/>
      <w:contextualSpacing/>
    </w:pPr>
    <w:rPr>
      <w:rFonts w:ascii="Times New Roman" w:hAnsi="Times New Roman" w:eastAsia="Times New Roman" w:cs="Times New Roman"/>
      <w:color w:val="000000"/>
      <w:sz w:val="24"/>
    </w:rPr>
  </w:style>
  <w:style w:type="paragraph" w:styleId="ListBullet">
    <w:name w:val="List Bullet"/>
    <w:basedOn w:val="Normal"/>
    <w:uiPriority w:val="99"/>
    <w:unhideWhenUsed/>
    <w:rsid w:val="00326F90"/>
    <w:pPr>
      <w:numPr>
        <w:numId w:val="1"/>
      </w:numPr>
      <w:spacing w:line="480" w:lineRule="auto" w:before="0" w:after="0"/>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spacing w:line="480" w:lineRule="auto" w:before="0" w:after="0"/>
      <w:contextualSpacing/>
    </w:pPr>
    <w:rPr>
      <w:rFonts w:ascii="Times New Roman" w:hAnsi="Times New Roman" w:eastAsia="Times New Roman" w:cs="Times New Roman"/>
      <w:color w:val="000000"/>
      <w:sz w:val="24"/>
    </w:rPr>
  </w:style>
  <w:style w:type="paragraph" w:styleId="ListBullet3">
    <w:name w:val="List Bullet 3"/>
    <w:basedOn w:val="Normal"/>
    <w:uiPriority w:val="99"/>
    <w:unhideWhenUsed/>
    <w:rsid w:val="00326F90"/>
    <w:pPr>
      <w:numPr>
        <w:numId w:val="3"/>
      </w:numPr>
      <w:spacing w:line="480" w:lineRule="auto" w:before="0" w:after="0"/>
      <w:contextualSpacing/>
    </w:pPr>
    <w:rPr>
      <w:rFonts w:ascii="Times New Roman" w:hAnsi="Times New Roman" w:eastAsia="Times New Roman" w:cs="Times New Roman"/>
      <w:color w:val="000000"/>
      <w:sz w:val="24"/>
    </w:rPr>
  </w:style>
  <w:style w:type="paragraph" w:styleId="ListNumber">
    <w:name w:val="List Number"/>
    <w:basedOn w:val="Normal"/>
    <w:uiPriority w:val="99"/>
    <w:unhideWhenUsed/>
    <w:rsid w:val="00326F90"/>
    <w:pPr>
      <w:numPr>
        <w:numId w:val="5"/>
      </w:numPr>
      <w:spacing w:line="480" w:lineRule="auto" w:before="0" w:after="0"/>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spacing w:line="480" w:lineRule="auto" w:before="0" w:after="0"/>
      <w:contextualSpacing/>
    </w:pPr>
    <w:rPr>
      <w:rFonts w:ascii="Times New Roman" w:hAnsi="Times New Roman" w:eastAsia="Times New Roman" w:cs="Times New Roman"/>
      <w:color w:val="000000"/>
      <w:sz w:val="24"/>
    </w:rPr>
  </w:style>
  <w:style w:type="paragraph" w:styleId="ListNumber3">
    <w:name w:val="List Number 3"/>
    <w:basedOn w:val="Normal"/>
    <w:uiPriority w:val="99"/>
    <w:unhideWhenUsed/>
    <w:rsid w:val="0029639D"/>
    <w:pPr>
      <w:numPr>
        <w:numId w:val="7"/>
      </w:numPr>
      <w:spacing w:line="480" w:lineRule="auto" w:before="0" w:after="0"/>
      <w:contextualSpacing/>
    </w:pPr>
    <w:rPr>
      <w:rFonts w:ascii="Times New Roman" w:hAnsi="Times New Roman" w:eastAsia="Times New Roman" w:cs="Times New Roman"/>
      <w:color w:val="000000"/>
      <w:sz w:val="24"/>
    </w:rPr>
  </w:style>
  <w:style w:type="paragraph" w:styleId="ListContinue">
    <w:name w:val="List Continue"/>
    <w:basedOn w:val="Normal"/>
    <w:uiPriority w:val="99"/>
    <w:unhideWhenUsed/>
    <w:rsid w:val="0029639D"/>
    <w:pPr>
      <w:spacing w:after="0" w:line="480" w:lineRule="auto" w:before="0"/>
      <w:ind w:left="360"/>
      <w:contextualSpacing/>
    </w:pPr>
    <w:rPr>
      <w:rFonts w:ascii="Times New Roman" w:hAnsi="Times New Roman" w:eastAsia="Times New Roman" w:cs="Times New Roman"/>
      <w:color w:val="000000"/>
      <w:sz w:val="24"/>
    </w:rPr>
  </w:style>
  <w:style w:type="paragraph" w:styleId="ListContinue2">
    <w:name w:val="List Continue 2"/>
    <w:basedOn w:val="Normal"/>
    <w:uiPriority w:val="99"/>
    <w:unhideWhenUsed/>
    <w:rsid w:val="0029639D"/>
    <w:pPr>
      <w:spacing w:after="0" w:line="480" w:lineRule="auto" w:before="0"/>
      <w:ind w:left="720"/>
      <w:contextualSpacing/>
    </w:pPr>
    <w:rPr>
      <w:rFonts w:ascii="Times New Roman" w:hAnsi="Times New Roman" w:eastAsia="Times New Roman" w:cs="Times New Roman"/>
      <w:color w:val="000000"/>
      <w:sz w:val="24"/>
    </w:rPr>
  </w:style>
  <w:style w:type="paragraph" w:styleId="ListContinue3">
    <w:name w:val="List Continue 3"/>
    <w:basedOn w:val="Normal"/>
    <w:uiPriority w:val="99"/>
    <w:unhideWhenUsed/>
    <w:rsid w:val="0029639D"/>
    <w:pPr>
      <w:spacing w:after="0" w:line="480" w:lineRule="auto" w:before="0"/>
      <w:ind w:left="1080"/>
      <w:contextualSpacing/>
    </w:pPr>
    <w:rPr>
      <w:rFonts w:ascii="Times New Roman" w:hAnsi="Times New Roman" w:eastAsia="Times New Roman" w:cs="Times New Roman"/>
      <w:color w:val="000000"/>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480" w:lineRule="auto" w:before="0" w:after="0"/>
    </w:pPr>
    <w:rPr>
      <w:rFonts w:ascii="Times New Roman" w:hAnsi="Times New Roman" w:eastAsia="Times New Roman" w:cs="Times New Roman"/>
      <w:color w:val="000000"/>
      <w:sz w:val="24"/>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4"/>
      <w:szCs w:val="20"/>
    </w:rPr>
  </w:style>
  <w:style w:type="paragraph" w:styleId="Quote">
    <w:name w:val="Quote"/>
    <w:basedOn w:val="Normal"/>
    <w:next w:val="Normal"/>
    <w:link w:val="QuoteChar"/>
    <w:uiPriority w:val="29"/>
    <w:qFormat/>
    <w:rsid w:val="00FC693F"/>
    <w:pPr>
      <w:spacing w:line="480" w:lineRule="auto" w:before="0" w:after="0"/>
    </w:pPr>
    <w:rPr>
      <w:rFonts w:ascii="Times New Roman" w:hAnsi="Times New Roman" w:eastAsia="Times New Roman" w:cs="Times New Roman"/>
      <w:i/>
      <w:iCs/>
      <w:color w:val="000000"/>
      <w:sz w:val="24"/>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sz w:val="24"/>
    </w:rPr>
  </w:style>
  <w:style w:type="character" w:customStyle="1" w:styleId="Heading4Char">
    <w:name w:val="Heading 4 Char"/>
    <w:basedOn w:val="DefaultParagraphFont"/>
    <w:link w:val="Heading4"/>
    <w:uiPriority w:val="9"/>
    <w:semiHidden/>
    <w:rsid w:val="00FC693F"/>
    <w:rPr>
      <w:rFonts w:cstheme="majorBidi" w:ascii="Times New Roman" w:hAnsi="Times New Roman" w:eastAsia="Times New Roman" w:cs="Times New Roman"/>
      <w:b/>
      <w:bCs/>
      <w:i/>
      <w:iCs/>
      <w:color w:val="000000"/>
      <w:sz w:val="24"/>
    </w:rPr>
  </w:style>
  <w:style w:type="character" w:customStyle="1" w:styleId="Heading5Char">
    <w:name w:val="Heading 5 Char"/>
    <w:basedOn w:val="DefaultParagraphFont"/>
    <w:link w:val="Heading5"/>
    <w:uiPriority w:val="9"/>
    <w:semiHidden/>
    <w:rsid w:val="00FC693F"/>
    <w:rPr>
      <w:rFonts w:cstheme="majorBidi" w:ascii="Times New Roman" w:hAnsi="Times New Roman" w:eastAsia="Times New Roman" w:cs="Times New Roman"/>
      <w:color w:val="000000"/>
      <w:sz w:val="24"/>
    </w:rPr>
  </w:style>
  <w:style w:type="character" w:customStyle="1" w:styleId="Heading6Char">
    <w:name w:val="Heading 6 Char"/>
    <w:basedOn w:val="DefaultParagraphFont"/>
    <w:link w:val="Heading6"/>
    <w:uiPriority w:val="9"/>
    <w:semiHidden/>
    <w:rsid w:val="00FC693F"/>
    <w:rPr>
      <w:rFonts w:cstheme="majorBidi" w:ascii="Times New Roman" w:hAnsi="Times New Roman" w:eastAsia="Times New Roman" w:cs="Times New Roman"/>
      <w:i/>
      <w:iCs/>
      <w:color w:val="000000"/>
      <w:sz w:val="24"/>
    </w:rPr>
  </w:style>
  <w:style w:type="character" w:customStyle="1" w:styleId="Heading7Char">
    <w:name w:val="Heading 7 Char"/>
    <w:basedOn w:val="DefaultParagraphFont"/>
    <w:link w:val="Heading7"/>
    <w:uiPriority w:val="9"/>
    <w:semiHidden/>
    <w:rsid w:val="00FC693F"/>
    <w:rPr>
      <w:rFonts w:cstheme="majorBidi" w:ascii="Times New Roman" w:hAnsi="Times New Roman" w:eastAsia="Times New Roman" w:cs="Times New Roman"/>
      <w:i/>
      <w:iCs/>
      <w:color w:val="000000"/>
      <w:sz w:val="24"/>
    </w:rPr>
  </w:style>
  <w:style w:type="character" w:customStyle="1" w:styleId="Heading8Char">
    <w:name w:val="Heading 8 Char"/>
    <w:basedOn w:val="DefaultParagraphFont"/>
    <w:link w:val="Heading8"/>
    <w:uiPriority w:val="9"/>
    <w:semiHidden/>
    <w:rsid w:val="00FC693F"/>
    <w:rPr>
      <w:rFonts w:cstheme="majorBidi" w:ascii="Times New Roman" w:hAnsi="Times New Roman" w:eastAsia="Times New Roman" w:cs="Times New Roman"/>
      <w:color w:val="000000"/>
      <w:sz w:val="24"/>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eastAsia="Times New Roman" w:cs="Times New Roman"/>
      <w:i/>
      <w:iCs/>
      <w:color w:val="000000"/>
      <w:sz w:val="24"/>
      <w:szCs w:val="20"/>
    </w:rPr>
  </w:style>
  <w:style w:type="paragraph" w:styleId="Caption">
    <w:name w:val="caption"/>
    <w:basedOn w:val="Normal"/>
    <w:next w:val="Normal"/>
    <w:uiPriority w:val="35"/>
    <w:semiHidden/>
    <w:unhideWhenUsed/>
    <w:qFormat/>
    <w:rsid w:val="00FC693F"/>
    <w:pPr>
      <w:spacing w:line="480" w:lineRule="auto" w:before="0" w:after="0"/>
    </w:pPr>
    <w:rPr>
      <w:rFonts w:ascii="Times New Roman" w:hAnsi="Times New Roman" w:eastAsia="Times New Roman" w:cs="Times New Roman"/>
      <w:b/>
      <w:bCs/>
      <w:color w:val="000000"/>
      <w:sz w:val="24"/>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sz w:val="24"/>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sz w:val="24"/>
    </w:rPr>
  </w:style>
  <w:style w:type="paragraph" w:styleId="IntenseQuote">
    <w:name w:val="Intense Quote"/>
    <w:basedOn w:val="Normal"/>
    <w:next w:val="Normal"/>
    <w:link w:val="IntenseQuoteChar"/>
    <w:uiPriority w:val="30"/>
    <w:qFormat/>
    <w:rsid w:val="00FC693F"/>
    <w:pPr>
      <w:spacing w:before="0" w:after="0" w:line="480" w:lineRule="auto"/>
      <w:ind w:left="936" w:right="936"/>
    </w:pPr>
    <w:rPr>
      <w:rFonts w:ascii="Times New Roman" w:hAnsi="Times New Roman" w:eastAsia="Times New Roman" w:cs="Times New Roman"/>
      <w:b/>
      <w:bCs/>
      <w:i/>
      <w:iCs/>
      <w:color w:val="000000"/>
      <w:sz w:val="24"/>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sz w:val="24"/>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sz w:val="24"/>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sz w:val="24"/>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sz w:val="24"/>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sz w:val="24"/>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sz w:val="24"/>
    </w:rPr>
  </w:style>
  <w:style w:type="paragraph" w:styleId="TOCHeading">
    <w:name w:val="TOC Heading"/>
    <w:basedOn w:val="Heading1"/>
    <w:next w:val="Normal"/>
    <w:uiPriority w:val="39"/>
    <w:semiHidden/>
    <w:unhideWhenUsed/>
    <w:qFormat/>
    <w:rsid w:val="00FC693F"/>
    <w:pPr>
      <w:spacing w:line="480" w:lineRule="auto" w:before="0" w:after="0"/>
      <w:outlineLvl w:val="9"/>
    </w:pPr>
    <w:rPr>
      <w:rFonts w:ascii="Times New Roman" w:hAnsi="Times New Roman" w:eastAsia="Times New Roman" w:cs="Times New Roman"/>
      <w:color w:val="000000"/>
      <w:sz w:val="24"/>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iPhone Sales Analytics Project Report</dc:title>
  <dc:subject>Sales analysis with HDFS Hive and PySpark</dc:subject>
  <dc:creator>Ravi</dc:creator>
  <cp:keywords/>
  <dc:description>generated by python-docx</dc:description>
  <cp:lastModifiedBy/>
  <cp:revision>1</cp:revision>
  <dcterms:created xsi:type="dcterms:W3CDTF">2026-10-09T02:08:23Z</dcterms:created>
  <dcterms:modified xsi:type="dcterms:W3CDTF">2026-10-09T02:08:23Z</dcterms:modified>
  <cp:category/>
</cp:coreProperties>
</file>