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6"/>
        </w:rPr>
        <w:t>DentalCare AI</w:t>
      </w:r>
    </w:p>
    <w:p>
      <w:pPr>
        <w:jc w:val="center"/>
      </w:pPr>
      <w:r>
        <w:rPr>
          <w:b/>
          <w:i w:val="0"/>
          <w:sz w:val="34"/>
        </w:rPr>
        <w:t>TDA-IMP-M0-002 — Repository Baseline &amp; Technology Stack Decision</w:t>
      </w:r>
    </w:p>
    <w:p>
      <w:pPr>
        <w:jc w:val="center"/>
      </w:pPr>
      <w:r>
        <w:rPr>
          <w:b/>
          <w:i w:val="0"/>
          <w:sz w:val="22"/>
        </w:rPr>
        <w:t>Version 1.0 | Status: DECISION BASELINE | 14 August 2026</w:t>
      </w:r>
    </w:p>
    <w:p>
      <w:pPr>
        <w:jc w:val="center"/>
      </w:pPr>
      <w:r>
        <w:rPr>
          <w:b w:val="0"/>
          <w:i/>
          <w:sz w:val="19"/>
        </w:rPr>
        <w:t>Controlled decision for converting the documentation repository into an implementation-ready web application repository</w:t>
      </w:r>
    </w:p>
    <w:p>
      <w:pPr>
        <w:pStyle w:val="Heading1"/>
      </w:pPr>
      <w:r>
        <w:t>1. Purpose</w:t>
      </w:r>
    </w:p>
    <w:p>
      <w:r>
        <w:t>This document establishes the implementation baseline for the actual Git repository before Cursor begins M1 application development. It reconciles the documentation-first repository with a pragmatic web-application architecture and defines what M0 may and may not implement.</w:t>
      </w:r>
    </w:p>
    <w:p>
      <w:pPr>
        <w:pStyle w:val="Heading1"/>
      </w:pPr>
      <w:r>
        <w:t>2. Repository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Item</w:t>
            </w:r>
          </w:p>
        </w:tc>
        <w:tc>
          <w:tcPr>
            <w:tcW w:type="dxa" w:w="3456"/>
          </w:tcPr>
          <w:p>
            <w:r>
              <w:t>Current Baseline</w:t>
            </w:r>
          </w:p>
        </w:tc>
        <w:tc>
          <w:tcPr>
            <w:tcW w:type="dxa" w:w="3456"/>
          </w:tcPr>
          <w:p>
            <w:r>
              <w:t>Decision</w:t>
            </w:r>
          </w:p>
        </w:tc>
      </w:tr>
      <w:tr>
        <w:tc>
          <w:tcPr>
            <w:tcW w:type="dxa" w:w="3456"/>
          </w:tcPr>
          <w:p>
            <w:r>
              <w:t>Repository</w:t>
            </w:r>
          </w:p>
        </w:tc>
        <w:tc>
          <w:tcPr>
            <w:tcW w:type="dxa" w:w="3456"/>
          </w:tcPr>
          <w:p>
            <w:r>
              <w:t>ravishori/Ai-Dentist-System-webapp</w:t>
            </w:r>
          </w:p>
        </w:tc>
        <w:tc>
          <w:tcPr>
            <w:tcW w:type="dxa" w:w="3456"/>
          </w:tcPr>
          <w:p>
            <w:r>
              <w:t>Continue as canonical repository</w:t>
            </w:r>
          </w:p>
        </w:tc>
      </w:tr>
      <w:tr>
        <w:tc>
          <w:tcPr>
            <w:tcW w:type="dxa" w:w="3456"/>
          </w:tcPr>
          <w:p>
            <w:r>
              <w:t>Primary branch</w:t>
            </w:r>
          </w:p>
        </w:tc>
        <w:tc>
          <w:tcPr>
            <w:tcW w:type="dxa" w:w="3456"/>
          </w:tcPr>
          <w:p>
            <w:r>
              <w:t>main</w:t>
            </w:r>
          </w:p>
        </w:tc>
        <w:tc>
          <w:tcPr>
            <w:tcW w:type="dxa" w:w="3456"/>
          </w:tcPr>
          <w:p>
            <w:r>
              <w:t>Protect; use feature branches</w:t>
            </w:r>
          </w:p>
        </w:tc>
      </w:tr>
      <w:tr>
        <w:tc>
          <w:tcPr>
            <w:tcW w:type="dxa" w:w="3456"/>
          </w:tcPr>
          <w:p>
            <w:r>
              <w:t>Current maturity</w:t>
            </w:r>
          </w:p>
        </w:tc>
        <w:tc>
          <w:tcPr>
            <w:tcW w:type="dxa" w:w="3456"/>
          </w:tcPr>
          <w:p>
            <w:r>
              <w:t>Documentation/governance baseline</w:t>
            </w:r>
          </w:p>
        </w:tc>
        <w:tc>
          <w:tcPr>
            <w:tcW w:type="dxa" w:w="3456"/>
          </w:tcPr>
          <w:p>
            <w:r>
              <w:t>Create implementation skeleton</w:t>
            </w:r>
          </w:p>
        </w:tc>
      </w:tr>
      <w:tr>
        <w:tc>
          <w:tcPr>
            <w:tcW w:type="dxa" w:w="3456"/>
          </w:tcPr>
          <w:p>
            <w:r>
              <w:t>Application source</w:t>
            </w:r>
          </w:p>
        </w:tc>
        <w:tc>
          <w:tcPr>
            <w:tcW w:type="dxa" w:w="3456"/>
          </w:tcPr>
          <w:p>
            <w:r>
              <w:t>Not yet established</w:t>
            </w:r>
          </w:p>
        </w:tc>
        <w:tc>
          <w:tcPr>
            <w:tcW w:type="dxa" w:w="3456"/>
          </w:tcPr>
          <w:p>
            <w:r>
              <w:t>Create controlled application structure</w:t>
            </w:r>
          </w:p>
        </w:tc>
      </w:tr>
      <w:tr>
        <w:tc>
          <w:tcPr>
            <w:tcW w:type="dxa" w:w="3456"/>
          </w:tcPr>
          <w:p>
            <w:r>
              <w:t>Tests</w:t>
            </w:r>
          </w:p>
        </w:tc>
        <w:tc>
          <w:tcPr>
            <w:tcW w:type="dxa" w:w="3456"/>
          </w:tcPr>
          <w:p>
            <w:r>
              <w:t>No verified application suite yet</w:t>
            </w:r>
          </w:p>
        </w:tc>
        <w:tc>
          <w:tcPr>
            <w:tcW w:type="dxa" w:w="3456"/>
          </w:tcPr>
          <w:p>
            <w:r>
              <w:t>Create test foundation</w:t>
            </w:r>
          </w:p>
        </w:tc>
      </w:tr>
      <w:tr>
        <w:tc>
          <w:tcPr>
            <w:tcW w:type="dxa" w:w="3456"/>
          </w:tcPr>
          <w:p>
            <w:r>
              <w:t>Database</w:t>
            </w:r>
          </w:p>
        </w:tc>
        <w:tc>
          <w:tcPr>
            <w:tcW w:type="dxa" w:w="3456"/>
          </w:tcPr>
          <w:p>
            <w:r>
              <w:t>Not yet implemented</w:t>
            </w:r>
          </w:p>
        </w:tc>
        <w:tc>
          <w:tcPr>
            <w:tcW w:type="dxa" w:w="3456"/>
          </w:tcPr>
          <w:p>
            <w:r>
              <w:t>Establish PostgreSQL/Prisma baseline</w:t>
            </w:r>
          </w:p>
        </w:tc>
      </w:tr>
      <w:tr>
        <w:tc>
          <w:tcPr>
            <w:tcW w:type="dxa" w:w="3456"/>
          </w:tcPr>
          <w:p>
            <w:r>
              <w:t>CI/CD</w:t>
            </w:r>
          </w:p>
        </w:tc>
        <w:tc>
          <w:tcPr>
            <w:tcW w:type="dxa" w:w="3456"/>
          </w:tcPr>
          <w:p>
            <w:r>
              <w:t>Not yet established/verified</w:t>
            </w:r>
          </w:p>
        </w:tc>
        <w:tc>
          <w:tcPr>
            <w:tcW w:type="dxa" w:w="3456"/>
          </w:tcPr>
          <w:p>
            <w:r>
              <w:t>Create baseline after local tooling</w:t>
            </w:r>
          </w:p>
        </w:tc>
      </w:tr>
      <w:tr>
        <w:tc>
          <w:tcPr>
            <w:tcW w:type="dxa" w:w="3456"/>
          </w:tcPr>
          <w:p>
            <w:r>
              <w:t>Cursor governance</w:t>
            </w:r>
          </w:p>
        </w:tc>
        <w:tc>
          <w:tcPr>
            <w:tcW w:type="dxa" w:w="3456"/>
          </w:tcPr>
          <w:p>
            <w:r>
              <w:t>Established</w:t>
            </w:r>
          </w:p>
        </w:tc>
        <w:tc>
          <w:tcPr>
            <w:tcW w:type="dxa" w:w="3456"/>
          </w:tcPr>
          <w:p>
            <w:r>
              <w:t>Install/use as mandatory repository rules</w:t>
            </w:r>
          </w:p>
        </w:tc>
      </w:tr>
    </w:tbl>
    <w:p>
      <w:pPr>
        <w:pStyle w:val="Heading1"/>
      </w:pPr>
      <w:r>
        <w:t>3. Technology Decision Principles</w:t>
      </w:r>
    </w:p>
    <w:p>
      <w:pPr>
        <w:pStyle w:val="ListBullet"/>
      </w:pPr>
      <w:r>
        <w:t>Prefer a well-supported, maintainable stack over novelty.</w:t>
      </w:r>
    </w:p>
    <w:p>
      <w:pPr>
        <w:pStyle w:val="ListBullet"/>
      </w:pPr>
      <w:r>
        <w:t>Prefer TypeScript across the application layer.</w:t>
      </w:r>
    </w:p>
    <w:p>
      <w:pPr>
        <w:pStyle w:val="ListBullet"/>
      </w:pPr>
      <w:r>
        <w:t>Use a relational database for transactional Patient/Appointment/Notification integrity.</w:t>
      </w:r>
    </w:p>
    <w:p>
      <w:pPr>
        <w:pStyle w:val="ListBullet"/>
      </w:pPr>
      <w:r>
        <w:t>Keep domain logic independent from UI and HTTP.</w:t>
      </w:r>
    </w:p>
    <w:p>
      <w:pPr>
        <w:pStyle w:val="ListBullet"/>
      </w:pPr>
      <w:r>
        <w:t>Use PostgreSQL for transactions, constraints and concurrency.</w:t>
      </w:r>
    </w:p>
    <w:p>
      <w:pPr>
        <w:pStyle w:val="ListBullet"/>
      </w:pPr>
      <w:r>
        <w:t>Keep asynchronous notification processing separate from synchronous APIs.</w:t>
      </w:r>
    </w:p>
    <w:p>
      <w:pPr>
        <w:pStyle w:val="ListBullet"/>
      </w:pPr>
      <w:r>
        <w:t>Use managed infrastructure where it reduces operational burden.</w:t>
      </w:r>
    </w:p>
    <w:p>
      <w:pPr>
        <w:pStyle w:val="ListBullet"/>
      </w:pPr>
      <w:r>
        <w:t>Pin versions and make builds reproducible.</w:t>
      </w:r>
    </w:p>
    <w:p>
      <w:pPr>
        <w:pStyle w:val="ListBullet"/>
      </w:pPr>
      <w:r>
        <w:t>Do not introduce microservices prematurely.</w:t>
      </w:r>
    </w:p>
    <w:p>
      <w:pPr>
        <w:pStyle w:val="Heading1"/>
      </w:pPr>
      <w:r>
        <w:t>4. Recommended Application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Layer</w:t>
            </w:r>
          </w:p>
        </w:tc>
        <w:tc>
          <w:tcPr>
            <w:tcW w:type="dxa" w:w="3456"/>
          </w:tcPr>
          <w:p>
            <w:r>
              <w:t>Decision</w:t>
            </w:r>
          </w:p>
        </w:tc>
        <w:tc>
          <w:tcPr>
            <w:tcW w:type="dxa" w:w="3456"/>
          </w:tcPr>
          <w:p>
            <w:r>
              <w:t>Rationale</w:t>
            </w:r>
          </w:p>
        </w:tc>
      </w:tr>
      <w:tr>
        <w:tc>
          <w:tcPr>
            <w:tcW w:type="dxa" w:w="3456"/>
          </w:tcPr>
          <w:p>
            <w:r>
              <w:t>Web frontend</w:t>
            </w:r>
          </w:p>
        </w:tc>
        <w:tc>
          <w:tcPr>
            <w:tcW w:type="dxa" w:w="3456"/>
          </w:tcPr>
          <w:p>
            <w:r>
              <w:t>Next.js + TypeScript</w:t>
            </w:r>
          </w:p>
        </w:tc>
        <w:tc>
          <w:tcPr>
            <w:tcW w:type="dxa" w:w="3456"/>
          </w:tcPr>
          <w:p>
            <w:r>
              <w:t>Production-grade React framework</w:t>
            </w:r>
          </w:p>
        </w:tc>
      </w:tr>
      <w:tr>
        <w:tc>
          <w:tcPr>
            <w:tcW w:type="dxa" w:w="3456"/>
          </w:tcPr>
          <w:p>
            <w:r>
              <w:t>UI</w:t>
            </w:r>
          </w:p>
        </w:tc>
        <w:tc>
          <w:tcPr>
            <w:tcW w:type="dxa" w:w="3456"/>
          </w:tcPr>
          <w:p>
            <w:r>
              <w:t>React + accessible component system</w:t>
            </w:r>
          </w:p>
        </w:tc>
        <w:tc>
          <w:tcPr>
            <w:tcW w:type="dxa" w:w="3456"/>
          </w:tcPr>
          <w:p>
            <w:r>
              <w:t>Reusable patient/staff/admin interfaces</w:t>
            </w:r>
          </w:p>
        </w:tc>
      </w:tr>
      <w:tr>
        <w:tc>
          <w:tcPr>
            <w:tcW w:type="dxa" w:w="3456"/>
          </w:tcPr>
          <w:p>
            <w:r>
              <w:t>Validation</w:t>
            </w:r>
          </w:p>
        </w:tc>
        <w:tc>
          <w:tcPr>
            <w:tcW w:type="dxa" w:w="3456"/>
          </w:tcPr>
          <w:p>
            <w:r>
              <w:t>Zod or equivalent</w:t>
            </w:r>
          </w:p>
        </w:tc>
        <w:tc>
          <w:tcPr>
            <w:tcW w:type="dxa" w:w="3456"/>
          </w:tcPr>
          <w:p>
            <w:r>
              <w:t>Typed runtime validation</w:t>
            </w:r>
          </w:p>
        </w:tc>
      </w:tr>
      <w:tr>
        <w:tc>
          <w:tcPr>
            <w:tcW w:type="dxa" w:w="3456"/>
          </w:tcPr>
          <w:p>
            <w:r>
              <w:t>API boundary</w:t>
            </w:r>
          </w:p>
        </w:tc>
        <w:tc>
          <w:tcPr>
            <w:tcW w:type="dxa" w:w="3456"/>
          </w:tcPr>
          <w:p>
            <w:r>
              <w:t>Next.js server/API boundary initially</w:t>
            </w:r>
          </w:p>
        </w:tc>
        <w:tc>
          <w:tcPr>
            <w:tcW w:type="dxa" w:w="3456"/>
          </w:tcPr>
          <w:p>
            <w:r>
              <w:t>Simple first deployment</w:t>
            </w:r>
          </w:p>
        </w:tc>
      </w:tr>
      <w:tr>
        <w:tc>
          <w:tcPr>
            <w:tcW w:type="dxa" w:w="3456"/>
          </w:tcPr>
          <w:p>
            <w:r>
              <w:t>Domain/application</w:t>
            </w:r>
          </w:p>
        </w:tc>
        <w:tc>
          <w:tcPr>
            <w:tcW w:type="dxa" w:w="3456"/>
          </w:tcPr>
          <w:p>
            <w:r>
              <w:t>TypeScript modules independent of UI</w:t>
            </w:r>
          </w:p>
        </w:tc>
        <w:tc>
          <w:tcPr>
            <w:tcW w:type="dxa" w:w="3456"/>
          </w:tcPr>
          <w:p>
            <w:r>
              <w:t>Testable business rules</w:t>
            </w:r>
          </w:p>
        </w:tc>
      </w:tr>
      <w:tr>
        <w:tc>
          <w:tcPr>
            <w:tcW w:type="dxa" w:w="3456"/>
          </w:tcPr>
          <w:p>
            <w:r>
              <w:t>Database</w:t>
            </w:r>
          </w:p>
        </w:tc>
        <w:tc>
          <w:tcPr>
            <w:tcW w:type="dxa" w:w="3456"/>
          </w:tcPr>
          <w:p>
            <w:r>
              <w:t>PostgreSQL</w:t>
            </w:r>
          </w:p>
        </w:tc>
        <w:tc>
          <w:tcPr>
            <w:tcW w:type="dxa" w:w="3456"/>
          </w:tcPr>
          <w:p>
            <w:r>
              <w:t>Strong transactions/concurrency</w:t>
            </w:r>
          </w:p>
        </w:tc>
      </w:tr>
      <w:tr>
        <w:tc>
          <w:tcPr>
            <w:tcW w:type="dxa" w:w="3456"/>
          </w:tcPr>
          <w:p>
            <w:r>
              <w:t>ORM</w:t>
            </w:r>
          </w:p>
        </w:tc>
        <w:tc>
          <w:tcPr>
            <w:tcW w:type="dxa" w:w="3456"/>
          </w:tcPr>
          <w:p>
            <w:r>
              <w:t>Prisma</w:t>
            </w:r>
          </w:p>
        </w:tc>
        <w:tc>
          <w:tcPr>
            <w:tcW w:type="dxa" w:w="3456"/>
          </w:tcPr>
          <w:p>
            <w:r>
              <w:t>Typed data access and migrations</w:t>
            </w:r>
          </w:p>
        </w:tc>
      </w:tr>
      <w:tr>
        <w:tc>
          <w:tcPr>
            <w:tcW w:type="dxa" w:w="3456"/>
          </w:tcPr>
          <w:p>
            <w:r>
              <w:t>Background worker</w:t>
            </w:r>
          </w:p>
        </w:tc>
        <w:tc>
          <w:tcPr>
            <w:tcW w:type="dxa" w:w="3456"/>
          </w:tcPr>
          <w:p>
            <w:r>
              <w:t>Node.js + TypeScript</w:t>
            </w:r>
          </w:p>
        </w:tc>
        <w:tc>
          <w:tcPr>
            <w:tcW w:type="dxa" w:w="3456"/>
          </w:tcPr>
          <w:p>
            <w:r>
              <w:t>Independent notification processing</w:t>
            </w:r>
          </w:p>
        </w:tc>
      </w:tr>
      <w:tr>
        <w:tc>
          <w:tcPr>
            <w:tcW w:type="dxa" w:w="3456"/>
          </w:tcPr>
          <w:p>
            <w:r>
              <w:t>Queue</w:t>
            </w:r>
          </w:p>
        </w:tc>
        <w:tc>
          <w:tcPr>
            <w:tcW w:type="dxa" w:w="3456"/>
          </w:tcPr>
          <w:p>
            <w:r>
              <w:t>PostgreSQL transactional outbox initially</w:t>
            </w:r>
          </w:p>
        </w:tc>
        <w:tc>
          <w:tcPr>
            <w:tcW w:type="dxa" w:w="3456"/>
          </w:tcPr>
          <w:p>
            <w:r>
              <w:t>Avoid premature infrastructure</w:t>
            </w:r>
          </w:p>
        </w:tc>
      </w:tr>
      <w:tr>
        <w:tc>
          <w:tcPr>
            <w:tcW w:type="dxa" w:w="3456"/>
          </w:tcPr>
          <w:p>
            <w:r>
              <w:t>Email</w:t>
            </w:r>
          </w:p>
        </w:tc>
        <w:tc>
          <w:tcPr>
            <w:tcW w:type="dxa" w:w="3456"/>
          </w:tcPr>
          <w:p>
            <w:r>
              <w:t>SMTP through adapter</w:t>
            </w:r>
          </w:p>
        </w:tc>
        <w:tc>
          <w:tcPr>
            <w:tcW w:type="dxa" w:w="3456"/>
          </w:tcPr>
          <w:p>
            <w:r>
              <w:t>Provider abstraction</w:t>
            </w:r>
          </w:p>
        </w:tc>
      </w:tr>
      <w:tr>
        <w:tc>
          <w:tcPr>
            <w:tcW w:type="dxa" w:w="3456"/>
          </w:tcPr>
          <w:p>
            <w:r>
              <w:t>SMS</w:t>
            </w:r>
          </w:p>
        </w:tc>
        <w:tc>
          <w:tcPr>
            <w:tcW w:type="dxa" w:w="3456"/>
          </w:tcPr>
          <w:p>
            <w:r>
              <w:t>Twilio through adapter</w:t>
            </w:r>
          </w:p>
        </w:tc>
        <w:tc>
          <w:tcPr>
            <w:tcW w:type="dxa" w:w="3456"/>
          </w:tcPr>
          <w:p>
            <w:r>
              <w:t>Provider abstraction</w:t>
            </w:r>
          </w:p>
        </w:tc>
      </w:tr>
      <w:tr>
        <w:tc>
          <w:tcPr>
            <w:tcW w:type="dxa" w:w="3456"/>
          </w:tcPr>
          <w:p>
            <w:r>
              <w:t>Auth</w:t>
            </w:r>
          </w:p>
        </w:tc>
        <w:tc>
          <w:tcPr>
            <w:tcW w:type="dxa" w:w="3456"/>
          </w:tcPr>
          <w:p>
            <w:r>
              <w:t>Managed provider behind authorization boundary</w:t>
            </w:r>
          </w:p>
        </w:tc>
        <w:tc>
          <w:tcPr>
            <w:tcW w:type="dxa" w:w="3456"/>
          </w:tcPr>
          <w:p>
            <w:r>
              <w:t>Avoid custom auth</w:t>
            </w:r>
          </w:p>
        </w:tc>
      </w:tr>
      <w:tr>
        <w:tc>
          <w:tcPr>
            <w:tcW w:type="dxa" w:w="3456"/>
          </w:tcPr>
          <w:p>
            <w:r>
              <w:t>Testing</w:t>
            </w:r>
          </w:p>
        </w:tc>
        <w:tc>
          <w:tcPr>
            <w:tcW w:type="dxa" w:w="3456"/>
          </w:tcPr>
          <w:p>
            <w:r>
              <w:t>Vitest + Playwright + integration tests</w:t>
            </w:r>
          </w:p>
        </w:tc>
        <w:tc>
          <w:tcPr>
            <w:tcW w:type="dxa" w:w="3456"/>
          </w:tcPr>
          <w:p>
            <w:r>
              <w:t>Unit/service/browser coverage</w:t>
            </w:r>
          </w:p>
        </w:tc>
      </w:tr>
      <w:tr>
        <w:tc>
          <w:tcPr>
            <w:tcW w:type="dxa" w:w="3456"/>
          </w:tcPr>
          <w:p>
            <w:r>
              <w:t>Tooling</w:t>
            </w:r>
          </w:p>
        </w:tc>
        <w:tc>
          <w:tcPr>
            <w:tcW w:type="dxa" w:w="3456"/>
          </w:tcPr>
          <w:p>
            <w:r>
              <w:t>ESLint + Prettier + pnpm</w:t>
            </w:r>
          </w:p>
        </w:tc>
        <w:tc>
          <w:tcPr>
            <w:tcW w:type="dxa" w:w="3456"/>
          </w:tcPr>
          <w:p>
            <w:r>
              <w:t>Consistency and workspace support</w:t>
            </w:r>
          </w:p>
        </w:tc>
      </w:tr>
      <w:tr>
        <w:tc>
          <w:tcPr>
            <w:tcW w:type="dxa" w:w="3456"/>
          </w:tcPr>
          <w:p>
            <w:r>
              <w:t>Runtime</w:t>
            </w:r>
          </w:p>
        </w:tc>
        <w:tc>
          <w:tcPr>
            <w:tcW w:type="dxa" w:w="3456"/>
          </w:tcPr>
          <w:p>
            <w:r>
              <w:t>Approved current Node.js LTS, pinned</w:t>
            </w:r>
          </w:p>
        </w:tc>
        <w:tc>
          <w:tcPr>
            <w:tcW w:type="dxa" w:w="3456"/>
          </w:tcPr>
          <w:p>
            <w:r>
              <w:t>Support/reproducibility</w:t>
            </w:r>
          </w:p>
        </w:tc>
      </w:tr>
      <w:tr>
        <w:tc>
          <w:tcPr>
            <w:tcW w:type="dxa" w:w="3456"/>
          </w:tcPr>
          <w:p>
            <w:r>
              <w:t>Deployment</w:t>
            </w:r>
          </w:p>
        </w:tc>
        <w:tc>
          <w:tcPr>
            <w:tcW w:type="dxa" w:w="3456"/>
          </w:tcPr>
          <w:p>
            <w:r>
              <w:t>Managed container-capable platform</w:t>
            </w:r>
          </w:p>
        </w:tc>
        <w:tc>
          <w:tcPr>
            <w:tcW w:type="dxa" w:w="3456"/>
          </w:tcPr>
          <w:p>
            <w:r>
              <w:t>Operational simplicity</w:t>
            </w:r>
          </w:p>
        </w:tc>
      </w:tr>
    </w:tbl>
    <w:p>
      <w:pPr>
        <w:pStyle w:val="Heading1"/>
      </w:pPr>
      <w:r>
        <w:t>5. Authentication Decision</w:t>
      </w:r>
    </w:p>
    <w:p>
      <w:r>
        <w:t>Do not implement a custom password/authentication system merely to start coding. M1 must confirm the approved identity architecture. If no provider has been approved, implement an authentication abstraction/configuration boundary and record the provider choice as an ADR before provider-specific security work.</w:t>
      </w:r>
    </w:p>
    <w:p>
      <w:pPr>
        <w:pStyle w:val="ListBullet"/>
      </w:pPr>
      <w:r>
        <w:t>Preferred direction: managed identity/authentication.</w:t>
      </w:r>
    </w:p>
    <w:p>
      <w:pPr>
        <w:pStyle w:val="ListBullet"/>
      </w:pPr>
      <w:r>
        <w:t>Application owns authorization, tenant scoping and object-level access policy.</w:t>
      </w:r>
    </w:p>
    <w:p>
      <w:pPr>
        <w:pStyle w:val="ListBullet"/>
      </w:pPr>
      <w:r>
        <w:t>Provider-specific commitment requires an approved decision if not already present.</w:t>
      </w:r>
    </w:p>
    <w:p>
      <w:pPr>
        <w:pStyle w:val="Heading1"/>
      </w:pPr>
      <w:r>
        <w:t>6. Repository Architecture Decision</w:t>
      </w:r>
    </w:p>
    <w:p>
      <w:r>
        <w:rPr>
          <w:b/>
        </w:rPr>
        <w:t>Use a modular monolith + separate background worker, not microservices.</w:t>
      </w:r>
    </w:p>
    <w:p>
      <w:pPr>
        <w:pStyle w:val="ListBullet"/>
      </w:pPr>
      <w:r>
        <w:t>One web/API application initially.</w:t>
      </w:r>
    </w:p>
    <w:p>
      <w:pPr>
        <w:pStyle w:val="ListBullet"/>
      </w:pPr>
      <w:r>
        <w:t>One PostgreSQL database.</w:t>
      </w:r>
    </w:p>
    <w:p>
      <w:pPr>
        <w:pStyle w:val="ListBullet"/>
      </w:pPr>
      <w:r>
        <w:t>One notification worker process/service.</w:t>
      </w:r>
    </w:p>
    <w:p>
      <w:pPr>
        <w:pStyle w:val="ListBullet"/>
      </w:pPr>
      <w:r>
        <w:t>Clear Foundation, Patient, Appointment and Notification boundaries.</w:t>
      </w:r>
    </w:p>
    <w:p>
      <w:pPr>
        <w:pStyle w:val="ListBullet"/>
      </w:pPr>
      <w:r>
        <w:t>Provider adapters behind interfaces.</w:t>
      </w:r>
    </w:p>
    <w:p>
      <w:pPr>
        <w:pStyle w:val="Heading1"/>
      </w:pPr>
      <w:r>
        <w:t>7. Proposed Repository Structure</w:t>
      </w:r>
    </w:p>
    <w:p>
      <w:r>
        <w:t>apps/web/              Next.js web application + API boundary</w:t>
        <w:br/>
        <w:t>apps/worker/           Notification dispatcher/worker</w:t>
        <w:br/>
        <w:t>packages/domain/       Domain primitives/business rules</w:t>
        <w:br/>
        <w:t>packages/application/  Application services/use cases</w:t>
        <w:br/>
        <w:t>packages/db/           Prisma schema/client/migrations</w:t>
        <w:br/>
        <w:t>packages/contracts/    Shared API/schema contracts</w:t>
        <w:br/>
        <w:t>packages/config/       Typed configuration boundary</w:t>
        <w:br/>
        <w:t>packages/test-utils/   Test factories/helpers</w:t>
        <w:br/>
        <w:t>tests/e2e/             Playwright tests</w:t>
        <w:br/>
        <w:t>tests/integration/     API/database integration tests</w:t>
        <w:br/>
        <w:t>docs/                   Controlled documentation</w:t>
        <w:br/>
        <w:t>scripts/                Safe developer/CI scripts</w:t>
        <w:br/>
        <w:t>.cursor/rules/          Cursor governance</w:t>
      </w:r>
    </w:p>
    <w:p>
      <w:r>
        <w:t>The package split may be simplified during M0 if necessary. Domain boundaries are mandatory; package count is not.</w:t>
      </w:r>
    </w:p>
    <w:p>
      <w:pPr>
        <w:pStyle w:val="Heading1"/>
      </w:pPr>
      <w:r>
        <w:t>8. Domain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Module</w:t>
            </w:r>
          </w:p>
        </w:tc>
        <w:tc>
          <w:tcPr>
            <w:tcW w:type="dxa" w:w="3456"/>
          </w:tcPr>
          <w:p>
            <w:r>
              <w:t>Owns</w:t>
            </w:r>
          </w:p>
        </w:tc>
        <w:tc>
          <w:tcPr>
            <w:tcW w:type="dxa" w:w="3456"/>
          </w:tcPr>
          <w:p>
            <w:r>
              <w:t>Must Not Own</w:t>
            </w:r>
          </w:p>
        </w:tc>
      </w:tr>
      <w:tr>
        <w:tc>
          <w:tcPr>
            <w:tcW w:type="dxa" w:w="3456"/>
          </w:tcPr>
          <w:p>
            <w:r>
              <w:t>Foundation</w:t>
            </w:r>
          </w:p>
        </w:tc>
        <w:tc>
          <w:tcPr>
            <w:tcW w:type="dxa" w:w="3456"/>
          </w:tcPr>
          <w:p>
            <w:r>
              <w:t>Identity, tenant context, authorization primitives, audit foundation</w:t>
            </w:r>
          </w:p>
        </w:tc>
        <w:tc>
          <w:tcPr>
            <w:tcW w:type="dxa" w:w="3456"/>
          </w:tcPr>
          <w:p>
            <w:r>
              <w:t>Patient/appointment business rules</w:t>
            </w:r>
          </w:p>
        </w:tc>
      </w:tr>
      <w:tr>
        <w:tc>
          <w:tcPr>
            <w:tcW w:type="dxa" w:w="3456"/>
          </w:tcPr>
          <w:p>
            <w:r>
              <w:t>Patient</w:t>
            </w:r>
          </w:p>
        </w:tc>
        <w:tc>
          <w:tcPr>
            <w:tcW w:type="dxa" w:w="3456"/>
          </w:tcPr>
          <w:p>
            <w:r>
              <w:t>Profile, contacts, preferences, patient history</w:t>
            </w:r>
          </w:p>
        </w:tc>
        <w:tc>
          <w:tcPr>
            <w:tcW w:type="dxa" w:w="3456"/>
          </w:tcPr>
          <w:p>
            <w:r>
              <w:t>Appointment scheduling</w:t>
            </w:r>
          </w:p>
        </w:tc>
      </w:tr>
      <w:tr>
        <w:tc>
          <w:tcPr>
            <w:tcW w:type="dxa" w:w="3456"/>
          </w:tcPr>
          <w:p>
            <w:r>
              <w:t>Appointment</w:t>
            </w:r>
          </w:p>
        </w:tc>
        <w:tc>
          <w:tcPr>
            <w:tcW w:type="dxa" w:w="3456"/>
          </w:tcPr>
          <w:p>
            <w:r>
              <w:t>Scheduling, lifecycle, conflicts, appointment history</w:t>
            </w:r>
          </w:p>
        </w:tc>
        <w:tc>
          <w:tcPr>
            <w:tcW w:type="dxa" w:w="3456"/>
          </w:tcPr>
          <w:p>
            <w:r>
              <w:t>Provider delivery</w:t>
            </w:r>
          </w:p>
        </w:tc>
      </w:tr>
      <w:tr>
        <w:tc>
          <w:tcPr>
            <w:tcW w:type="dxa" w:w="3456"/>
          </w:tcPr>
          <w:p>
            <w:r>
              <w:t>Notification</w:t>
            </w:r>
          </w:p>
        </w:tc>
        <w:tc>
          <w:tcPr>
            <w:tcW w:type="dxa" w:w="3456"/>
          </w:tcPr>
          <w:p>
            <w:r>
              <w:t>Outbox processing, templates, attempts, provider adapters</w:t>
            </w:r>
          </w:p>
        </w:tc>
        <w:tc>
          <w:tcPr>
            <w:tcW w:type="dxa" w:w="3456"/>
          </w:tcPr>
          <w:p>
            <w:r>
              <w:t>Appointment lifecycle decisions</w:t>
            </w:r>
          </w:p>
        </w:tc>
      </w:tr>
    </w:tbl>
    <w:p>
      <w:pPr>
        <w:pStyle w:val="Heading1"/>
      </w:pPr>
      <w:r>
        <w:t>9. Database Baseline</w:t>
      </w:r>
    </w:p>
    <w:p>
      <w:pPr>
        <w:pStyle w:val="ListBullet"/>
      </w:pPr>
      <w:r>
        <w:t>PostgreSQL is the canonical transactional database.</w:t>
      </w:r>
    </w:p>
    <w:p>
      <w:pPr>
        <w:pStyle w:val="ListBullet"/>
      </w:pPr>
      <w:r>
        <w:t>Use Prisma migrations as the controlled schema evolution mechanism unless an approved design requires otherwise.</w:t>
      </w:r>
    </w:p>
    <w:p>
      <w:pPr>
        <w:pStyle w:val="ListBullet"/>
      </w:pPr>
      <w:r>
        <w:t>Database constraints are part of domain integrity.</w:t>
      </w:r>
    </w:p>
    <w:p>
      <w:pPr>
        <w:pStyle w:val="ListBullet"/>
      </w:pPr>
      <w:r>
        <w:t>Tenant ownership must be enforced at the data-access boundary.</w:t>
      </w:r>
    </w:p>
    <w:p>
      <w:pPr>
        <w:pStyle w:val="ListBullet"/>
      </w:pPr>
      <w:r>
        <w:t>Appointment conflict protection must use database-safe concurrency mechanisms.</w:t>
      </w:r>
    </w:p>
    <w:p>
      <w:pPr>
        <w:pStyle w:val="ListBullet"/>
      </w:pPr>
      <w:r>
        <w:t>Notification outbox is durable in PostgreSQL.</w:t>
      </w:r>
    </w:p>
    <w:p>
      <w:pPr>
        <w:pStyle w:val="ListBullet"/>
      </w:pPr>
      <w:r>
        <w:t>Do not add Redis or a message broker in M0 unless an approved requirement proves it necessary.</w:t>
      </w:r>
    </w:p>
    <w:p>
      <w:pPr>
        <w:pStyle w:val="Heading1"/>
      </w:pPr>
      <w:r>
        <w:t>10. API Architecture</w:t>
      </w:r>
    </w:p>
    <w:p>
      <w:pPr>
        <w:pStyle w:val="ListBullet"/>
      </w:pPr>
      <w:r>
        <w:t>Version public APIs under /api/v1.</w:t>
      </w:r>
    </w:p>
    <w:p>
      <w:pPr>
        <w:pStyle w:val="ListBullet"/>
      </w:pPr>
      <w:r>
        <w:t>Keep request/response schemas explicit.</w:t>
      </w:r>
    </w:p>
    <w:p>
      <w:pPr>
        <w:pStyle w:val="ListBullet"/>
      </w:pPr>
      <w:r>
        <w:t>Return stable machine-readable error codes.</w:t>
      </w:r>
    </w:p>
    <w:p>
      <w:pPr>
        <w:pStyle w:val="ListBullet"/>
      </w:pPr>
      <w:r>
        <w:t>Use correlation IDs.</w:t>
      </w:r>
    </w:p>
    <w:p>
      <w:pPr>
        <w:pStyle w:val="ListBullet"/>
      </w:pPr>
      <w:r>
        <w:t>Authorize before business operations.</w:t>
      </w:r>
    </w:p>
    <w:p>
      <w:pPr>
        <w:pStyle w:val="ListBullet"/>
      </w:pPr>
      <w:r>
        <w:t>Use idempotency keys where defined.</w:t>
      </w:r>
    </w:p>
    <w:p>
      <w:pPr>
        <w:pStyle w:val="ListBullet"/>
      </w:pPr>
      <w:r>
        <w:t>Keep OpenAPI synchronized with implementation.</w:t>
      </w:r>
    </w:p>
    <w:p>
      <w:pPr>
        <w:pStyle w:val="Heading1"/>
      </w:pPr>
      <w:r>
        <w:t>11. Notification Architecture Decision</w:t>
      </w:r>
    </w:p>
    <w:p>
      <w:r>
        <w:rPr>
          <w:b/>
        </w:rPr>
        <w:t>Transactional Outbox + Asynchronous Worker</w:t>
      </w:r>
    </w:p>
    <w:p>
      <w:pPr>
        <w:pStyle w:val="ListBullet"/>
      </w:pPr>
      <w:r>
        <w:t>Business transaction writes notification intent to PostgreSQL.</w:t>
      </w:r>
    </w:p>
    <w:p>
      <w:pPr>
        <w:pStyle w:val="ListBullet"/>
      </w:pPr>
      <w:r>
        <w:t>Worker claims durable outbox records.</w:t>
      </w:r>
    </w:p>
    <w:p>
      <w:pPr>
        <w:pStyle w:val="ListBullet"/>
      </w:pPr>
      <w:r>
        <w:t>Provider call occurs outside the business transaction.</w:t>
      </w:r>
    </w:p>
    <w:p>
      <w:pPr>
        <w:pStyle w:val="ListBullet"/>
      </w:pPr>
      <w:r>
        <w:t>Retries use controlled backoff.</w:t>
      </w:r>
    </w:p>
    <w:p>
      <w:pPr>
        <w:pStyle w:val="ListBullet"/>
      </w:pPr>
      <w:r>
        <w:t>SMTP/Twilio remain behind provider adapters.</w:t>
      </w:r>
    </w:p>
    <w:p>
      <w:pPr>
        <w:pStyle w:val="ListBullet"/>
      </w:pPr>
      <w:r>
        <w:t>Do not introduce a broker until scale/reliability requirements justify it.</w:t>
      </w:r>
    </w:p>
    <w:p>
      <w:pPr>
        <w:pStyle w:val="Heading1"/>
      </w:pPr>
      <w:r>
        <w:t>12. Environment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Environment</w:t>
            </w:r>
          </w:p>
        </w:tc>
        <w:tc>
          <w:tcPr>
            <w:tcW w:type="dxa" w:w="5184"/>
          </w:tcPr>
          <w:p>
            <w:r>
              <w:t>Purpose</w:t>
            </w:r>
          </w:p>
        </w:tc>
      </w:tr>
      <w:tr>
        <w:tc>
          <w:tcPr>
            <w:tcW w:type="dxa" w:w="5184"/>
          </w:tcPr>
          <w:p>
            <w:r>
              <w:t>Local</w:t>
            </w:r>
          </w:p>
        </w:tc>
        <w:tc>
          <w:tcPr>
            <w:tcW w:type="dxa" w:w="5184"/>
          </w:tcPr>
          <w:p>
            <w:r>
              <w:t>Developer implementation and unit/integration tests</w:t>
            </w:r>
          </w:p>
        </w:tc>
      </w:tr>
      <w:tr>
        <w:tc>
          <w:tcPr>
            <w:tcW w:type="dxa" w:w="5184"/>
          </w:tcPr>
          <w:p>
            <w:r>
              <w:t>CI</w:t>
            </w:r>
          </w:p>
        </w:tc>
        <w:tc>
          <w:tcPr>
            <w:tcW w:type="dxa" w:w="5184"/>
          </w:tcPr>
          <w:p>
            <w:r>
              <w:t>Build, lint, test and security checks</w:t>
            </w:r>
          </w:p>
        </w:tc>
      </w:tr>
      <w:tr>
        <w:tc>
          <w:tcPr>
            <w:tcW w:type="dxa" w:w="5184"/>
          </w:tcPr>
          <w:p>
            <w:r>
              <w:t>Staging</w:t>
            </w:r>
          </w:p>
        </w:tc>
        <w:tc>
          <w:tcPr>
            <w:tcW w:type="dxa" w:w="5184"/>
          </w:tcPr>
          <w:p>
            <w:r>
              <w:t>Production-like E2E, sandbox providers, migration rehearsal</w:t>
            </w:r>
          </w:p>
        </w:tc>
      </w:tr>
      <w:tr>
        <w:tc>
          <w:tcPr>
            <w:tcW w:type="dxa" w:w="5184"/>
          </w:tcPr>
          <w:p>
            <w:r>
              <w:t>Production</w:t>
            </w:r>
          </w:p>
        </w:tc>
        <w:tc>
          <w:tcPr>
            <w:tcW w:type="dxa" w:w="5184"/>
          </w:tcPr>
          <w:p>
            <w:r>
              <w:t>Real service with controlled secrets/data</w:t>
            </w:r>
          </w:p>
        </w:tc>
      </w:tr>
    </w:tbl>
    <w:p>
      <w:r>
        <w:t>No real patient data in local, CI or staging environments.</w:t>
      </w:r>
    </w:p>
    <w:p>
      <w:pPr>
        <w:pStyle w:val="Heading1"/>
      </w:pPr>
      <w:r>
        <w:t>13. Configuration Strategy</w:t>
      </w:r>
    </w:p>
    <w:p>
      <w:pPr>
        <w:pStyle w:val="ListBullet"/>
      </w:pPr>
      <w:r>
        <w:t>Commit .env.example with placeholders only.</w:t>
      </w:r>
    </w:p>
    <w:p>
      <w:pPr>
        <w:pStyle w:val="ListBullet"/>
      </w:pPr>
      <w:r>
        <w:t>Validate required environment variables at startup.</w:t>
      </w:r>
    </w:p>
    <w:p>
      <w:pPr>
        <w:pStyle w:val="ListBullet"/>
      </w:pPr>
      <w:r>
        <w:t>Separate public configuration from secrets.</w:t>
      </w:r>
    </w:p>
    <w:p>
      <w:pPr>
        <w:pStyle w:val="ListBullet"/>
      </w:pPr>
      <w:r>
        <w:t>Use runtime secret management in staging/production.</w:t>
      </w:r>
    </w:p>
    <w:p>
      <w:pPr>
        <w:pStyle w:val="ListBullet"/>
      </w:pPr>
      <w:r>
        <w:t>Fail fast on missing mandatory configuration.</w:t>
      </w:r>
    </w:p>
    <w:p>
      <w:pPr>
        <w:pStyle w:val="ListBullet"/>
      </w:pPr>
      <w:r>
        <w:t>Never log secret values.</w:t>
      </w:r>
    </w:p>
    <w:p>
      <w:pPr>
        <w:pStyle w:val="Heading1"/>
      </w:pPr>
      <w:r>
        <w:t>14. CI/CD Baseline</w:t>
      </w:r>
    </w:p>
    <w:p>
      <w:pPr>
        <w:pStyle w:val="ListBullet"/>
      </w:pPr>
      <w:r>
        <w:t>Install dependencies from lockfile.</w:t>
      </w:r>
    </w:p>
    <w:p>
      <w:pPr>
        <w:pStyle w:val="ListBullet"/>
      </w:pPr>
      <w:r>
        <w:t>Run lint and typecheck.</w:t>
      </w:r>
    </w:p>
    <w:p>
      <w:pPr>
        <w:pStyle w:val="ListBullet"/>
      </w:pPr>
      <w:r>
        <w:t>Run unit tests.</w:t>
      </w:r>
    </w:p>
    <w:p>
      <w:pPr>
        <w:pStyle w:val="ListBullet"/>
      </w:pPr>
      <w:r>
        <w:t>Run integration tests where infrastructure permits.</w:t>
      </w:r>
    </w:p>
    <w:p>
      <w:pPr>
        <w:pStyle w:val="ListBullet"/>
      </w:pPr>
      <w:r>
        <w:t>Run security, dependency and secret scans.</w:t>
      </w:r>
    </w:p>
    <w:p>
      <w:pPr>
        <w:pStyle w:val="ListBullet"/>
      </w:pPr>
      <w:r>
        <w:t>Build immutable artifacts.</w:t>
      </w:r>
    </w:p>
    <w:p>
      <w:pPr>
        <w:pStyle w:val="ListBullet"/>
      </w:pPr>
      <w:r>
        <w:t>Run appropriate E2E tests.</w:t>
      </w:r>
    </w:p>
    <w:p>
      <w:pPr>
        <w:pStyle w:val="ListBullet"/>
      </w:pPr>
      <w:r>
        <w:t>Require explicit approval before production deployment.</w:t>
      </w:r>
    </w:p>
    <w:p>
      <w:pPr>
        <w:pStyle w:val="Heading1"/>
      </w:pPr>
      <w:r>
        <w:t>15. M0 Implementation Skeleton</w:t>
      </w:r>
    </w:p>
    <w:p>
      <w:pPr>
        <w:pStyle w:val="ListNumber"/>
      </w:pPr>
      <w:r>
        <w:t>Create package/workspace configuration.</w:t>
      </w:r>
    </w:p>
    <w:p>
      <w:pPr>
        <w:pStyle w:val="ListNumber"/>
      </w:pPr>
      <w:r>
        <w:t>Create Next.js web application shell.</w:t>
      </w:r>
    </w:p>
    <w:p>
      <w:pPr>
        <w:pStyle w:val="ListNumber"/>
      </w:pPr>
      <w:r>
        <w:t>Create worker application shell.</w:t>
      </w:r>
    </w:p>
    <w:p>
      <w:pPr>
        <w:pStyle w:val="ListNumber"/>
      </w:pPr>
      <w:r>
        <w:t>Create shared TypeScript configuration.</w:t>
      </w:r>
    </w:p>
    <w:p>
      <w:pPr>
        <w:pStyle w:val="ListNumber"/>
      </w:pPr>
      <w:r>
        <w:t>Create lint/format/test configuration.</w:t>
      </w:r>
    </w:p>
    <w:p>
      <w:pPr>
        <w:pStyle w:val="ListNumber"/>
      </w:pPr>
      <w:r>
        <w:t>Create PostgreSQL/Prisma foundation without inventing business-domain schema.</w:t>
      </w:r>
    </w:p>
    <w:p>
      <w:pPr>
        <w:pStyle w:val="ListNumber"/>
      </w:pPr>
      <w:r>
        <w:t>Create typed environment/configuration validation.</w:t>
      </w:r>
    </w:p>
    <w:p>
      <w:pPr>
        <w:pStyle w:val="ListNumber"/>
      </w:pPr>
      <w:r>
        <w:t>Install the Cursor master rule.</w:t>
      </w:r>
    </w:p>
    <w:p>
      <w:pPr>
        <w:pStyle w:val="ListNumber"/>
      </w:pPr>
      <w:r>
        <w:t>Create CI baseline.</w:t>
      </w:r>
    </w:p>
    <w:p>
      <w:pPr>
        <w:pStyle w:val="ListNumber"/>
      </w:pPr>
      <w:r>
        <w:t>Document local setup.</w:t>
      </w:r>
    </w:p>
    <w:p>
      <w:r>
        <w:t>M0 must not implement Patient, Appointment or Notification business behavior.</w:t>
      </w:r>
    </w:p>
    <w:p>
      <w:pPr>
        <w:pStyle w:val="Heading1"/>
      </w:pPr>
      <w:r>
        <w:t>16. Decisions Still Requiring Explicit ADR if Undefined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Decision</w:t>
            </w:r>
          </w:p>
        </w:tc>
        <w:tc>
          <w:tcPr>
            <w:tcW w:type="dxa" w:w="3456"/>
          </w:tcPr>
          <w:p>
            <w:r>
              <w:t>Default</w:t>
            </w:r>
          </w:p>
        </w:tc>
        <w:tc>
          <w:tcPr>
            <w:tcW w:type="dxa" w:w="3456"/>
          </w:tcPr>
          <w:p>
            <w:r>
              <w:t>Freeze Before</w:t>
            </w:r>
          </w:p>
        </w:tc>
      </w:tr>
      <w:tr>
        <w:tc>
          <w:tcPr>
            <w:tcW w:type="dxa" w:w="3456"/>
          </w:tcPr>
          <w:p>
            <w:r>
              <w:t>Auth provider</w:t>
            </w:r>
          </w:p>
        </w:tc>
        <w:tc>
          <w:tcPr>
            <w:tcW w:type="dxa" w:w="3456"/>
          </w:tcPr>
          <w:p>
            <w:r>
              <w:t>Managed provider behind abstraction</w:t>
            </w:r>
          </w:p>
        </w:tc>
        <w:tc>
          <w:tcPr>
            <w:tcW w:type="dxa" w:w="3456"/>
          </w:tcPr>
          <w:p>
            <w:r>
              <w:t>M1 security implementation</w:t>
            </w:r>
          </w:p>
        </w:tc>
      </w:tr>
      <w:tr>
        <w:tc>
          <w:tcPr>
            <w:tcW w:type="dxa" w:w="3456"/>
          </w:tcPr>
          <w:p>
            <w:r>
              <w:t>Hosting platform</w:t>
            </w:r>
          </w:p>
        </w:tc>
        <w:tc>
          <w:tcPr>
            <w:tcW w:type="dxa" w:w="3456"/>
          </w:tcPr>
          <w:p>
            <w:r>
              <w:t>Managed container-capable platform</w:t>
            </w:r>
          </w:p>
        </w:tc>
        <w:tc>
          <w:tcPr>
            <w:tcW w:type="dxa" w:w="3456"/>
          </w:tcPr>
          <w:p>
            <w:r>
              <w:t>M7; preferably CI/CD</w:t>
            </w:r>
          </w:p>
        </w:tc>
      </w:tr>
      <w:tr>
        <w:tc>
          <w:tcPr>
            <w:tcW w:type="dxa" w:w="3456"/>
          </w:tcPr>
          <w:p>
            <w:r>
              <w:t>Email provider</w:t>
            </w:r>
          </w:p>
        </w:tc>
        <w:tc>
          <w:tcPr>
            <w:tcW w:type="dxa" w:w="3456"/>
          </w:tcPr>
          <w:p>
            <w:r>
              <w:t>SMTP provider</w:t>
            </w:r>
          </w:p>
        </w:tc>
        <w:tc>
          <w:tcPr>
            <w:tcW w:type="dxa" w:w="3456"/>
          </w:tcPr>
          <w:p>
            <w:r>
              <w:t>M4 staging</w:t>
            </w:r>
          </w:p>
        </w:tc>
      </w:tr>
      <w:tr>
        <w:tc>
          <w:tcPr>
            <w:tcW w:type="dxa" w:w="3456"/>
          </w:tcPr>
          <w:p>
            <w:r>
              <w:t>SMS provider</w:t>
            </w:r>
          </w:p>
        </w:tc>
        <w:tc>
          <w:tcPr>
            <w:tcW w:type="dxa" w:w="3456"/>
          </w:tcPr>
          <w:p>
            <w:r>
              <w:t>Twilio</w:t>
            </w:r>
          </w:p>
        </w:tc>
        <w:tc>
          <w:tcPr>
            <w:tcW w:type="dxa" w:w="3456"/>
          </w:tcPr>
          <w:p>
            <w:r>
              <w:t>M4 production</w:t>
            </w:r>
          </w:p>
        </w:tc>
      </w:tr>
      <w:tr>
        <w:tc>
          <w:tcPr>
            <w:tcW w:type="dxa" w:w="3456"/>
          </w:tcPr>
          <w:p>
            <w:r>
              <w:t>Domain/DNS</w:t>
            </w:r>
          </w:p>
        </w:tc>
        <w:tc>
          <w:tcPr>
            <w:tcW w:type="dxa" w:w="3456"/>
          </w:tcPr>
          <w:p>
            <w:r>
              <w:t>Existing Trinetra-owned domain/subdomain</w:t>
            </w:r>
          </w:p>
        </w:tc>
        <w:tc>
          <w:tcPr>
            <w:tcW w:type="dxa" w:w="3456"/>
          </w:tcPr>
          <w:p>
            <w:r>
              <w:t>Production</w:t>
            </w:r>
          </w:p>
        </w:tc>
      </w:tr>
      <w:tr>
        <w:tc>
          <w:tcPr>
            <w:tcW w:type="dxa" w:w="3456"/>
          </w:tcPr>
          <w:p>
            <w:r>
              <w:t>Observability</w:t>
            </w:r>
          </w:p>
        </w:tc>
        <w:tc>
          <w:tcPr>
            <w:tcW w:type="dxa" w:w="3456"/>
          </w:tcPr>
          <w:p>
            <w:r>
              <w:t>Platform/managed solution</w:t>
            </w:r>
          </w:p>
        </w:tc>
        <w:tc>
          <w:tcPr>
            <w:tcW w:type="dxa" w:w="3456"/>
          </w:tcPr>
          <w:p>
            <w:r>
              <w:t>M6/M7</w:t>
            </w:r>
          </w:p>
        </w:tc>
      </w:tr>
      <w:tr>
        <w:tc>
          <w:tcPr>
            <w:tcW w:type="dxa" w:w="3456"/>
          </w:tcPr>
          <w:p>
            <w:r>
              <w:t>Backup/RPO/RTO</w:t>
            </w:r>
          </w:p>
        </w:tc>
        <w:tc>
          <w:tcPr>
            <w:tcW w:type="dxa" w:w="3456"/>
          </w:tcPr>
          <w:p>
            <w:r>
              <w:t>Explicit project decision</w:t>
            </w:r>
          </w:p>
        </w:tc>
        <w:tc>
          <w:tcPr>
            <w:tcW w:type="dxa" w:w="3456"/>
          </w:tcPr>
          <w:p>
            <w:r>
              <w:t>M7</w:t>
            </w:r>
          </w:p>
        </w:tc>
      </w:tr>
    </w:tbl>
    <w:p>
      <w:pPr>
        <w:pStyle w:val="Heading1"/>
      </w:pPr>
      <w:r>
        <w:t>17. M0 Cursor Execution Prompt</w:t>
      </w:r>
    </w:p>
    <w:p>
      <w:r>
        <w:t>Execute TDA-IMP-M0-002 only.</w:t>
        <w:br/>
        <w:br/>
        <w:t>Treat TDA-GOV-SOT-001, TDA-GOV-CUR-001, TDA-GOV-CMP-001, TDA-IMP-001 and this document as controlled sources of truth.</w:t>
        <w:br/>
        <w:br/>
        <w:t>OBJECTIVE</w:t>
        <w:br/>
        <w:t>Convert the documentation-first repository into an implementation-ready TypeScript web-application repository WITHOUT implementing Patient, Appointment or Notification business behavior.</w:t>
        <w:br/>
        <w:br/>
        <w:t>TARGET BASELINE</w:t>
        <w:br/>
        <w:t>- Next.js + TypeScript</w:t>
        <w:br/>
        <w:t>- Modular monolith</w:t>
        <w:br/>
        <w:t>- PostgreSQL + Prisma</w:t>
        <w:br/>
        <w:t>- Separate Node/TypeScript notification worker shell</w:t>
        <w:br/>
        <w:t>- pnpm workspace</w:t>
        <w:br/>
        <w:t>- Vitest</w:t>
        <w:br/>
        <w:t>- Playwright</w:t>
        <w:br/>
        <w:t>- ESLint + Prettier</w:t>
        <w:br/>
        <w:t>- Typed environment configuration</w:t>
        <w:br/>
        <w:t>- CI baseline</w:t>
        <w:br/>
        <w:t>- Existing .cursor/rules governance</w:t>
        <w:br/>
        <w:br/>
        <w:t>PRECHECK</w:t>
        <w:br/>
        <w:t>1. Inspect repository structure and important documentation.</w:t>
        <w:br/>
        <w:t>2. Inspect package manifests and any existing code.</w:t>
        <w:br/>
        <w:t>3. Inspect Git status, branch and remotes.</w:t>
        <w:br/>
        <w:t>4. Preserve existing documentation and unrelated work.</w:t>
        <w:br/>
        <w:t>5. Identify conflicts with the selected stack.</w:t>
        <w:br/>
        <w:br/>
        <w:t>IMPLEMENT ONLY THE TOOLING/REPOSITORY SKELETON.</w:t>
        <w:br/>
        <w:t>Do not create Patient, Appointment or Notification business logic or business schema.</w:t>
        <w:br/>
        <w:br/>
        <w:t>DO NOT</w:t>
        <w:br/>
        <w:t>- add speculative features;</w:t>
        <w:br/>
        <w:t>- introduce microservices;</w:t>
        <w:br/>
        <w:t>- add Redis/message broker without approved requirement;</w:t>
        <w:br/>
        <w:t>- add custom authentication;</w:t>
        <w:br/>
        <w:t>- silently upgrade unrelated dependencies;</w:t>
        <w:br/>
        <w:t>- delete documentation;</w:t>
        <w:br/>
        <w:t>- perform destructive Git operations;</w:t>
        <w:br/>
        <w:t>- commit.</w:t>
        <w:br/>
        <w:br/>
        <w:t>VALIDATE</w:t>
        <w:br/>
        <w:t>- dependency installation from lockfile;</w:t>
        <w:br/>
        <w:t>- typecheck;</w:t>
        <w:br/>
        <w:t>- lint;</w:t>
        <w:br/>
        <w:t>- unit test runner;</w:t>
        <w:br/>
        <w:t>- Playwright configuration;</w:t>
        <w:br/>
        <w:t>- web build;</w:t>
        <w:br/>
        <w:t>- worker build;</w:t>
        <w:br/>
        <w:t>- Prisma configuration;</w:t>
        <w:br/>
        <w:t>- CI configuration.</w:t>
        <w:br/>
        <w:br/>
        <w:t>STOP if source-of-truth documents conflict, existing code would be overwritten, a security/architecture decision is undefined, or a destructive restructuring is required.</w:t>
        <w:br/>
        <w:br/>
        <w:t>REPORT</w:t>
        <w:br/>
        <w:t>STATUS, repository structure, stack decisions applied, files changed, commands/results, security/config observations, unresolved ADRs, Git state, risks and the recommended M1 precondition.</w:t>
      </w:r>
    </w:p>
    <w:p>
      <w:pPr>
        <w:pStyle w:val="Heading1"/>
      </w:pPr>
      <w:r>
        <w:t>18. M0 Stop Conditions</w:t>
      </w:r>
    </w:p>
    <w:p>
      <w:pPr>
        <w:pStyle w:val="ListBullet"/>
      </w:pPr>
      <w:r>
        <w:t>Approved documentation materially conflicts with the proposed stack.</w:t>
      </w:r>
    </w:p>
    <w:p>
      <w:pPr>
        <w:pStyle w:val="ListBullet"/>
      </w:pPr>
      <w:r>
        <w:t>Existing application code would be overwritten or invalidated.</w:t>
      </w:r>
    </w:p>
    <w:p>
      <w:pPr>
        <w:pStyle w:val="ListBullet"/>
      </w:pPr>
      <w:r>
        <w:t>Authentication must be selected before safe implementation can proceed.</w:t>
      </w:r>
    </w:p>
    <w:p>
      <w:pPr>
        <w:pStyle w:val="ListBullet"/>
      </w:pPr>
      <w:r>
        <w:t>Database technology is mandated differently by an approved source of truth.</w:t>
      </w:r>
    </w:p>
    <w:p>
      <w:pPr>
        <w:pStyle w:val="ListBullet"/>
      </w:pPr>
      <w:r>
        <w:t>Destructive restructuring is required.</w:t>
      </w:r>
    </w:p>
    <w:p>
      <w:pPr>
        <w:pStyle w:val="ListBullet"/>
      </w:pPr>
      <w:r>
        <w:t>Build/tooling cannot be made reproducible.</w:t>
      </w:r>
    </w:p>
    <w:p>
      <w:pPr>
        <w:pStyle w:val="Heading1"/>
      </w:pPr>
      <w:r>
        <w:t>19. M0 Definition of Done</w:t>
      </w:r>
    </w:p>
    <w:p>
      <w:pPr>
        <w:pStyle w:val="ListBullet"/>
      </w:pPr>
      <w:r>
        <w:t>Repository structure is implementation-ready.</w:t>
      </w:r>
    </w:p>
    <w:p>
      <w:pPr>
        <w:pStyle w:val="ListBullet"/>
      </w:pPr>
      <w:r>
        <w:t>Technology stack is documented and internally consistent.</w:t>
      </w:r>
    </w:p>
    <w:p>
      <w:pPr>
        <w:pStyle w:val="ListBullet"/>
      </w:pPr>
      <w:r>
        <w:t>Web application shell builds.</w:t>
      </w:r>
    </w:p>
    <w:p>
      <w:pPr>
        <w:pStyle w:val="ListBullet"/>
      </w:pPr>
      <w:r>
        <w:t>Worker shell builds.</w:t>
      </w:r>
    </w:p>
    <w:p>
      <w:pPr>
        <w:pStyle w:val="ListBullet"/>
      </w:pPr>
      <w:r>
        <w:t>PostgreSQL/Prisma baseline validates.</w:t>
      </w:r>
    </w:p>
    <w:p>
      <w:pPr>
        <w:pStyle w:val="ListBullet"/>
      </w:pPr>
      <w:r>
        <w:t>pnpm workspace and lockfile are healthy.</w:t>
      </w:r>
    </w:p>
    <w:p>
      <w:pPr>
        <w:pStyle w:val="ListBullet"/>
      </w:pPr>
      <w:r>
        <w:t>Lint/typecheck/test tooling works.</w:t>
      </w:r>
    </w:p>
    <w:p>
      <w:pPr>
        <w:pStyle w:val="ListBullet"/>
      </w:pPr>
      <w:r>
        <w:t>Playwright baseline works.</w:t>
      </w:r>
    </w:p>
    <w:p>
      <w:pPr>
        <w:pStyle w:val="ListBullet"/>
      </w:pPr>
      <w:r>
        <w:t>CI baseline exists.</w:t>
      </w:r>
    </w:p>
    <w:p>
      <w:pPr>
        <w:pStyle w:val="ListBullet"/>
      </w:pPr>
      <w:r>
        <w:t>Cursor master rule is installed.</w:t>
      </w:r>
    </w:p>
    <w:p>
      <w:pPr>
        <w:pStyle w:val="ListBullet"/>
      </w:pPr>
      <w:r>
        <w:t>No business-domain behavior has been prematurely implemented.</w:t>
      </w:r>
    </w:p>
    <w:p>
      <w:pPr>
        <w:pStyle w:val="ListBullet"/>
      </w:pPr>
      <w:r>
        <w:t>M0 evidence report is complete.</w:t>
      </w:r>
    </w:p>
    <w:p>
      <w:pPr>
        <w:pStyle w:val="ListBullet"/>
      </w:pPr>
      <w:r>
        <w:t>Open ADRs are explicitly listed.</w:t>
      </w:r>
    </w:p>
    <w:p>
      <w:pPr>
        <w:pStyle w:val="Heading1"/>
      </w:pPr>
      <w:r>
        <w:t>20. M0 Evidence Report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Section</w:t>
            </w:r>
          </w:p>
        </w:tc>
        <w:tc>
          <w:tcPr>
            <w:tcW w:type="dxa" w:w="5184"/>
          </w:tcPr>
          <w:p>
            <w:r>
              <w:t>Required Output</w:t>
            </w:r>
          </w:p>
        </w:tc>
      </w:tr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PASS / PARTIAL / BLOCKED</w:t>
            </w:r>
          </w:p>
        </w:tc>
      </w:tr>
      <w:tr>
        <w:tc>
          <w:tcPr>
            <w:tcW w:type="dxa" w:w="5184"/>
          </w:tcPr>
          <w:p>
            <w:r>
              <w:t>Repository</w:t>
            </w:r>
          </w:p>
        </w:tc>
        <w:tc>
          <w:tcPr>
            <w:tcW w:type="dxa" w:w="5184"/>
          </w:tcPr>
          <w:p>
            <w:r>
              <w:t>Structure + preservation assessment</w:t>
            </w:r>
          </w:p>
        </w:tc>
      </w:tr>
      <w:tr>
        <w:tc>
          <w:tcPr>
            <w:tcW w:type="dxa" w:w="5184"/>
          </w:tcPr>
          <w:p>
            <w:r>
              <w:t>Stack</w:t>
            </w:r>
          </w:p>
        </w:tc>
        <w:tc>
          <w:tcPr>
            <w:tcW w:type="dxa" w:w="5184"/>
          </w:tcPr>
          <w:p>
            <w:r>
              <w:t>Decisions applied</w:t>
            </w:r>
          </w:p>
        </w:tc>
      </w:tr>
      <w:tr>
        <w:tc>
          <w:tcPr>
            <w:tcW w:type="dxa" w:w="5184"/>
          </w:tcPr>
          <w:p>
            <w:r>
              <w:t>Dependencies</w:t>
            </w:r>
          </w:p>
        </w:tc>
        <w:tc>
          <w:tcPr>
            <w:tcW w:type="dxa" w:w="5184"/>
          </w:tcPr>
          <w:p>
            <w:r>
              <w:t>Versions/lockfile</w:t>
            </w:r>
          </w:p>
        </w:tc>
      </w:tr>
      <w:tr>
        <w:tc>
          <w:tcPr>
            <w:tcW w:type="dxa" w:w="5184"/>
          </w:tcPr>
          <w:p>
            <w:r>
              <w:t>Build</w:t>
            </w:r>
          </w:p>
        </w:tc>
        <w:tc>
          <w:tcPr>
            <w:tcW w:type="dxa" w:w="5184"/>
          </w:tcPr>
          <w:p>
            <w:r>
              <w:t>Commands + results</w:t>
            </w:r>
          </w:p>
        </w:tc>
      </w:tr>
      <w:tr>
        <w:tc>
          <w:tcPr>
            <w:tcW w:type="dxa" w:w="5184"/>
          </w:tcPr>
          <w:p>
            <w:r>
              <w:t>Tests</w:t>
            </w:r>
          </w:p>
        </w:tc>
        <w:tc>
          <w:tcPr>
            <w:tcW w:type="dxa" w:w="5184"/>
          </w:tcPr>
          <w:p>
            <w:r>
              <w:t>Commands + results</w:t>
            </w:r>
          </w:p>
        </w:tc>
      </w:tr>
      <w:tr>
        <w:tc>
          <w:tcPr>
            <w:tcW w:type="dxa" w:w="5184"/>
          </w:tcPr>
          <w:p>
            <w:r>
              <w:t>Database</w:t>
            </w:r>
          </w:p>
        </w:tc>
        <w:tc>
          <w:tcPr>
            <w:tcW w:type="dxa" w:w="5184"/>
          </w:tcPr>
          <w:p>
            <w:r>
              <w:t>Prisma/PostgreSQL baseline</w:t>
            </w:r>
          </w:p>
        </w:tc>
      </w:tr>
      <w:tr>
        <w:tc>
          <w:tcPr>
            <w:tcW w:type="dxa" w:w="5184"/>
          </w:tcPr>
          <w:p>
            <w:r>
              <w:t>CI</w:t>
            </w:r>
          </w:p>
        </w:tc>
        <w:tc>
          <w:tcPr>
            <w:tcW w:type="dxa" w:w="5184"/>
          </w:tcPr>
          <w:p>
            <w:r>
              <w:t>Pipeline validation</w:t>
            </w:r>
          </w:p>
        </w:tc>
      </w:tr>
      <w:tr>
        <w:tc>
          <w:tcPr>
            <w:tcW w:type="dxa" w:w="5184"/>
          </w:tcPr>
          <w:p>
            <w:r>
              <w:t>Cursor</w:t>
            </w:r>
          </w:p>
        </w:tc>
        <w:tc>
          <w:tcPr>
            <w:tcW w:type="dxa" w:w="5184"/>
          </w:tcPr>
          <w:p>
            <w:r>
              <w:t>Rules installed</w:t>
            </w:r>
          </w:p>
        </w:tc>
      </w:tr>
      <w:tr>
        <w:tc>
          <w:tcPr>
            <w:tcW w:type="dxa" w:w="5184"/>
          </w:tcPr>
          <w:p>
            <w:r>
              <w:t>ADR gaps</w:t>
            </w:r>
          </w:p>
        </w:tc>
        <w:tc>
          <w:tcPr>
            <w:tcW w:type="dxa" w:w="5184"/>
          </w:tcPr>
          <w:p>
            <w:r>
              <w:t>Open decisions</w:t>
            </w:r>
          </w:p>
        </w:tc>
      </w:tr>
      <w:tr>
        <w:tc>
          <w:tcPr>
            <w:tcW w:type="dxa" w:w="5184"/>
          </w:tcPr>
          <w:p>
            <w:r>
              <w:t>Git</w:t>
            </w:r>
          </w:p>
        </w:tc>
        <w:tc>
          <w:tcPr>
            <w:tcW w:type="dxa" w:w="5184"/>
          </w:tcPr>
          <w:p>
            <w:r>
              <w:t>Status/diff</w:t>
            </w:r>
          </w:p>
        </w:tc>
      </w:tr>
      <w:tr>
        <w:tc>
          <w:tcPr>
            <w:tcW w:type="dxa" w:w="5184"/>
          </w:tcPr>
          <w:p>
            <w:r>
              <w:t>Risks</w:t>
            </w:r>
          </w:p>
        </w:tc>
        <w:tc>
          <w:tcPr>
            <w:tcW w:type="dxa" w:w="5184"/>
          </w:tcPr>
          <w:p>
            <w:r>
              <w:t>Known gaps</w:t>
            </w:r>
          </w:p>
        </w:tc>
      </w:tr>
      <w:tr>
        <w:tc>
          <w:tcPr>
            <w:tcW w:type="dxa" w:w="5184"/>
          </w:tcPr>
          <w:p>
            <w:r>
              <w:t>Next</w:t>
            </w:r>
          </w:p>
        </w:tc>
        <w:tc>
          <w:tcPr>
            <w:tcW w:type="dxa" w:w="5184"/>
          </w:tcPr>
          <w:p>
            <w:r>
              <w:t>M1 preconditions</w:t>
            </w:r>
          </w:p>
        </w:tc>
      </w:tr>
    </w:tbl>
    <w:p>
      <w:pPr>
        <w:pStyle w:val="Heading1"/>
      </w:pPr>
      <w:r>
        <w:t>21. Governance Statement</w:t>
      </w:r>
    </w:p>
    <w:p>
      <w:r>
        <w:rPr>
          <w:b/>
        </w:rPr>
        <w:t>M0 succeeds when the repository is safe and reproducible enough for Cursor to begin business-domain implementation. A framework scaffold alone is not sufficient.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