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DentalCare AI</w:t>
      </w:r>
    </w:p>
    <w:p>
      <w:pPr>
        <w:jc w:val="center"/>
      </w:pPr>
      <w:r>
        <w:rPr>
          <w:b/>
          <w:sz w:val="34"/>
        </w:rPr>
        <w:t>Volume 01 — Business Requirements Document (BRD)</w:t>
      </w:r>
    </w:p>
    <w:p>
      <w:pPr>
        <w:jc w:val="center"/>
      </w:pPr>
      <w:r>
        <w:rPr>
          <w:b/>
          <w:sz w:val="26"/>
        </w:rPr>
        <w:t>Governance-Aligned Revision v1.1</w:t>
      </w:r>
    </w:p>
    <w:p>
      <w:pPr>
        <w:jc w:val="center"/>
      </w:pPr>
      <w:r>
        <w:rPr>
          <w:i/>
        </w:rPr>
        <w:t>Status: REVIEW | Date: 14 August 2026 | Controlled successor to BRD v1.0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Field</w:t>
            </w:r>
          </w:p>
        </w:tc>
        <w:tc>
          <w:tcPr>
            <w:tcW w:type="dxa" w:w="5040"/>
          </w:tcPr>
          <w:p>
            <w:r>
              <w:t>Controlled Value</w:t>
            </w:r>
          </w:p>
        </w:tc>
      </w:tr>
      <w:tr>
        <w:tc>
          <w:tcPr>
            <w:tcW w:type="dxa" w:w="5040"/>
          </w:tcPr>
          <w:p>
            <w:r>
              <w:t>Document ID</w:t>
            </w:r>
          </w:p>
        </w:tc>
        <w:tc>
          <w:tcPr>
            <w:tcW w:type="dxa" w:w="5040"/>
          </w:tcPr>
          <w:p>
            <w:r>
              <w:t>TDA-PRD-BRD-001</w:t>
            </w:r>
          </w:p>
        </w:tc>
      </w:tr>
      <w:tr>
        <w:tc>
          <w:tcPr>
            <w:tcW w:type="dxa" w:w="5040"/>
          </w:tcPr>
          <w:p>
            <w:r>
              <w:t>Volume</w:t>
            </w:r>
          </w:p>
        </w:tc>
        <w:tc>
          <w:tcPr>
            <w:tcW w:type="dxa" w:w="5040"/>
          </w:tcPr>
          <w:p>
            <w:r>
              <w:t>01 — Product Requirements</w:t>
            </w:r>
          </w:p>
        </w:tc>
      </w:tr>
      <w:tr>
        <w:tc>
          <w:tcPr>
            <w:tcW w:type="dxa" w:w="5040"/>
          </w:tcPr>
          <w:p>
            <w:r>
              <w:t>Document Type</w:t>
            </w:r>
          </w:p>
        </w:tc>
        <w:tc>
          <w:tcPr>
            <w:tcW w:type="dxa" w:w="5040"/>
          </w:tcPr>
          <w:p>
            <w:r>
              <w:t>Business Requirements Document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1.1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REVIEW</w:t>
            </w:r>
          </w:p>
        </w:tc>
      </w:tr>
      <w:tr>
        <w:tc>
          <w:tcPr>
            <w:tcW w:type="dxa" w:w="5040"/>
          </w:tcPr>
          <w:p>
            <w:r>
              <w:t>Previous Version</w:t>
            </w:r>
          </w:p>
        </w:tc>
        <w:tc>
          <w:tcPr>
            <w:tcW w:type="dxa" w:w="5040"/>
          </w:tcPr>
          <w:p>
            <w:r>
              <w:t>DentalCare AI Volume 1 BRD v1.0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DentalCare AI — Dental Appointment Management System</w:t>
            </w:r>
          </w:p>
        </w:tc>
      </w:tr>
      <w:tr>
        <w:tc>
          <w:tcPr>
            <w:tcW w:type="dxa" w:w="5040"/>
          </w:tcPr>
          <w:p>
            <w:r>
              <w:t>Primary Market</w:t>
            </w:r>
          </w:p>
        </w:tc>
        <w:tc>
          <w:tcPr>
            <w:tcW w:type="dxa" w:w="5040"/>
          </w:tcPr>
          <w:p>
            <w:r>
              <w:t>India; international-readiness as a design objective</w:t>
            </w:r>
          </w:p>
        </w:tc>
      </w:tr>
      <w:tr>
        <w:tc>
          <w:tcPr>
            <w:tcW w:type="dxa" w:w="5040"/>
          </w:tcPr>
          <w:p>
            <w:r>
              <w:t>Product Vision</w:t>
            </w:r>
          </w:p>
        </w:tc>
        <w:tc>
          <w:tcPr>
            <w:tcW w:type="dxa" w:w="5040"/>
          </w:tcPr>
          <w:p>
            <w:r>
              <w:t>An AI-native operating system for modern dentistry.</w:t>
            </w:r>
          </w:p>
        </w:tc>
      </w:tr>
      <w:tr>
        <w:tc>
          <w:tcPr>
            <w:tcW w:type="dxa" w:w="5040"/>
          </w:tcPr>
          <w:p>
            <w:r>
              <w:t>Business Owner</w:t>
            </w:r>
          </w:p>
        </w:tc>
        <w:tc>
          <w:tcPr>
            <w:tcW w:type="dxa" w:w="5040"/>
          </w:tcPr>
          <w:p>
            <w:r>
              <w:t>To be assigned</w:t>
            </w:r>
          </w:p>
        </w:tc>
      </w:tr>
      <w:tr>
        <w:tc>
          <w:tcPr>
            <w:tcW w:type="dxa" w:w="5040"/>
          </w:tcPr>
          <w:p>
            <w:r>
              <w:t>Technical Authority</w:t>
            </w:r>
          </w:p>
        </w:tc>
        <w:tc>
          <w:tcPr>
            <w:tcW w:type="dxa" w:w="5040"/>
          </w:tcPr>
          <w:p>
            <w:r>
              <w:t>See governed architecture/TDD and ADRs</w:t>
            </w:r>
          </w:p>
        </w:tc>
      </w:tr>
      <w:tr>
        <w:tc>
          <w:tcPr>
            <w:tcW w:type="dxa" w:w="5040"/>
          </w:tcPr>
          <w:p>
            <w:r>
              <w:t>Source-of-Truth Policy</w:t>
            </w:r>
          </w:p>
        </w:tc>
        <w:tc>
          <w:tcPr>
            <w:tcW w:type="dxa" w:w="5040"/>
          </w:tcPr>
          <w:p>
            <w:r>
              <w:t>TDA-GOV-SOT-001</w:t>
            </w:r>
          </w:p>
        </w:tc>
      </w:tr>
      <w:tr>
        <w:tc>
          <w:tcPr>
            <w:tcW w:type="dxa" w:w="5040"/>
          </w:tcPr>
          <w:p>
            <w:r>
              <w:t>Change Management</w:t>
            </w:r>
          </w:p>
        </w:tc>
        <w:tc>
          <w:tcPr>
            <w:tcW w:type="dxa" w:w="5040"/>
          </w:tcPr>
          <w:p>
            <w:r>
              <w:t>TDA-GOV-CMP-001</w:t>
            </w:r>
          </w:p>
        </w:tc>
      </w:tr>
      <w:tr>
        <w:tc>
          <w:tcPr>
            <w:tcW w:type="dxa" w:w="5040"/>
          </w:tcPr>
          <w:p>
            <w:r>
              <w:t>Cursor Rules</w:t>
            </w:r>
          </w:p>
        </w:tc>
        <w:tc>
          <w:tcPr>
            <w:tcW w:type="dxa" w:w="5040"/>
          </w:tcPr>
          <w:p>
            <w:r>
              <w:t>TDA-GOV-CUR-001</w:t>
            </w:r>
          </w:p>
        </w:tc>
      </w:tr>
      <w:tr>
        <w:tc>
          <w:tcPr>
            <w:tcW w:type="dxa" w:w="5040"/>
          </w:tcPr>
          <w:p>
            <w:r>
              <w:t>Traceability</w:t>
            </w:r>
          </w:p>
        </w:tc>
        <w:tc>
          <w:tcPr>
            <w:tcW w:type="dxa" w:w="5040"/>
          </w:tcPr>
          <w:p>
            <w:r>
              <w:t>TDA-GOV-RTM-001</w:t>
            </w:r>
          </w:p>
        </w:tc>
      </w:tr>
    </w:tbl>
    <w:p>
      <w:pPr>
        <w:pStyle w:val="Heading1"/>
      </w:pPr>
      <w:r>
        <w:t>Revision 1.1 — Governance Alignment Summary</w:t>
      </w:r>
    </w:p>
    <w:p>
      <w:pPr>
        <w:pStyle w:val="ListBullet"/>
      </w:pPr>
      <w:r>
        <w:t>Preserves the valid product/business content of BRD v1.0; no wholesale rewrite.</w:t>
      </w:r>
    </w:p>
    <w:p>
      <w:pPr>
        <w:pStyle w:val="ListBullet"/>
      </w:pPr>
      <w:r>
        <w:t>Introduces controlled document identity, status, ownership placeholders and governance references.</w:t>
      </w:r>
    </w:p>
    <w:p>
      <w:pPr>
        <w:pStyle w:val="ListBullet"/>
      </w:pPr>
      <w:r>
        <w:t>Separates business intent from implementation guidance where appropriate.</w:t>
      </w:r>
    </w:p>
    <w:p>
      <w:pPr>
        <w:pStyle w:val="ListBullet"/>
      </w:pPr>
      <w:r>
        <w:t>Introduces release/phase classification so the broad platform vision is not interpreted as an all-at-once MVP commitment.</w:t>
      </w:r>
    </w:p>
    <w:p>
      <w:pPr>
        <w:pStyle w:val="ListBullet"/>
      </w:pPr>
      <w:r>
        <w:t>Adds stable BRD requirement-group IDs to support TDA-GOV-RTM-001.</w:t>
      </w:r>
    </w:p>
    <w:p>
      <w:pPr>
        <w:pStyle w:val="ListBullet"/>
      </w:pPr>
      <w:r>
        <w:t>Establishes the BRD as the authoritative source for business outcomes and product scope; detailed implementation contracts remain in FRS/TDD/DDD/API documents.</w:t>
      </w:r>
    </w:p>
    <w:p>
      <w:pPr>
        <w:pStyle w:val="Heading1"/>
      </w:pPr>
      <w:r>
        <w:t>Requirement Priority &amp; Release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Classification</w:t>
            </w:r>
          </w:p>
        </w:tc>
        <w:tc>
          <w:tcPr>
            <w:tcW w:type="dxa" w:w="3360"/>
          </w:tcPr>
          <w:p>
            <w:r>
              <w:t>Meaning</w:t>
            </w:r>
          </w:p>
        </w:tc>
        <w:tc>
          <w:tcPr>
            <w:tcW w:type="dxa" w:w="3360"/>
          </w:tcPr>
          <w:p>
            <w:r>
              <w:t>Usage</w:t>
            </w:r>
          </w:p>
        </w:tc>
      </w:tr>
      <w:tr>
        <w:tc>
          <w:tcPr>
            <w:tcW w:type="dxa" w:w="3360"/>
          </w:tcPr>
          <w:p>
            <w:r>
              <w:t>MUST</w:t>
            </w:r>
          </w:p>
        </w:tc>
        <w:tc>
          <w:tcPr>
            <w:tcW w:type="dxa" w:w="3360"/>
          </w:tcPr>
          <w:p>
            <w:r>
              <w:t>Required for the applicable approved release/phase.</w:t>
            </w:r>
          </w:p>
        </w:tc>
        <w:tc>
          <w:tcPr>
            <w:tcW w:type="dxa" w:w="3360"/>
          </w:tcPr>
          <w:p>
            <w:r>
              <w:t>Release blocker if omitted without approved change.</w:t>
            </w:r>
          </w:p>
        </w:tc>
      </w:tr>
      <w:tr>
        <w:tc>
          <w:tcPr>
            <w:tcW w:type="dxa" w:w="3360"/>
          </w:tcPr>
          <w:p>
            <w:r>
              <w:t>SHOULD</w:t>
            </w:r>
          </w:p>
        </w:tc>
        <w:tc>
          <w:tcPr>
            <w:tcW w:type="dxa" w:w="3360"/>
          </w:tcPr>
          <w:p>
            <w:r>
              <w:t>Important but may be deferred with documented rationale.</w:t>
            </w:r>
          </w:p>
        </w:tc>
        <w:tc>
          <w:tcPr>
            <w:tcW w:type="dxa" w:w="3360"/>
          </w:tcPr>
          <w:p>
            <w:r>
              <w:t>Track in roadmap.</w:t>
            </w:r>
          </w:p>
        </w:tc>
      </w:tr>
      <w:tr>
        <w:tc>
          <w:tcPr>
            <w:tcW w:type="dxa" w:w="3360"/>
          </w:tcPr>
          <w:p>
            <w:r>
              <w:t>COULD</w:t>
            </w:r>
          </w:p>
        </w:tc>
        <w:tc>
          <w:tcPr>
            <w:tcW w:type="dxa" w:w="3360"/>
          </w:tcPr>
          <w:p>
            <w:r>
              <w:t>Desirable enhancement.</w:t>
            </w:r>
          </w:p>
        </w:tc>
        <w:tc>
          <w:tcPr>
            <w:tcW w:type="dxa" w:w="3360"/>
          </w:tcPr>
          <w:p>
            <w:r>
              <w:t>Implement when capacity/business value justifies.</w:t>
            </w:r>
          </w:p>
        </w:tc>
      </w:tr>
      <w:tr>
        <w:tc>
          <w:tcPr>
            <w:tcW w:type="dxa" w:w="3360"/>
          </w:tcPr>
          <w:p>
            <w:r>
              <w:t>FUTURE</w:t>
            </w:r>
          </w:p>
        </w:tc>
        <w:tc>
          <w:tcPr>
            <w:tcW w:type="dxa" w:w="3360"/>
          </w:tcPr>
          <w:p>
            <w:r>
              <w:t>Explicitly outside the current delivery phase.</w:t>
            </w:r>
          </w:p>
        </w:tc>
        <w:tc>
          <w:tcPr>
            <w:tcW w:type="dxa" w:w="3360"/>
          </w:tcPr>
          <w:p>
            <w:r>
              <w:t>Do not implement without phase approval.</w:t>
            </w:r>
          </w:p>
        </w:tc>
      </w:tr>
    </w:tbl>
    <w:p>
      <w:pPr>
        <w:pStyle w:val="Heading1"/>
      </w:pPr>
      <w:r>
        <w:t>Release / Phase Model</w:t>
      </w:r>
    </w:p>
    <w:p>
      <w:pPr>
        <w:pStyle w:val="ListBullet"/>
      </w:pPr>
      <w:r>
        <w:t>Foundation / MVP — identity, tenant foundation, patient management, appointments, core clinical records, odontogram and billing.</w:t>
      </w:r>
    </w:p>
    <w:p>
      <w:pPr>
        <w:pStyle w:val="ListBullet"/>
      </w:pPr>
      <w:r>
        <w:t>Phase 2 — payments, inventory, laboratory, imaging, CRM, patient application and analytics.</w:t>
      </w:r>
    </w:p>
    <w:p>
      <w:pPr>
        <w:pStyle w:val="ListBullet"/>
      </w:pPr>
      <w:r>
        <w:t>Phase 3 — AI receptionist, clinical scribe, AI knowledge assistant, forecasting, advanced integrations and enterprise capabilities.</w:t>
      </w:r>
    </w:p>
    <w:p>
      <w:pPr>
        <w:pStyle w:val="ListBullet"/>
      </w:pPr>
      <w:r>
        <w:t>Phase 4 / Future — marketplace, advanced digital dentistry, research/education capabilities and international expansion.</w:t>
      </w:r>
    </w:p>
    <w:p>
      <w:pPr>
        <w:pStyle w:val="Heading1"/>
      </w:pPr>
      <w:r>
        <w:t>1. Executive Summary</w:t>
      </w:r>
    </w:p>
    <w:p>
      <w:r>
        <w:t>DentalCare AI is a cloud-native, multi-tenant SaaS platform designed to manage the clinical, administrative, financial, operational, patient-engagement, and intelligence workflows of dental practices.</w:t>
        <w:br/>
        <w:br/>
        <w:t>The platform is intended to support independent dentists, multi-chair clinics, polyclinics, dental hospitals, dental service organizations, franchises, universities, and enterprise dental groups.</w:t>
        <w:br/>
        <w:br/>
        <w:t>The product combines practice management, electronic dental records, appointment scheduling, digital odontograms, treatment planning, billing, payments, inventory, laboratory workflows, imaging, CRM, business intelligence, mobile applications, integrations, and responsible AI assistance.</w:t>
      </w:r>
    </w:p>
    <w:p>
      <w:r>
        <w:rPr>
          <w:i/>
          <w:sz w:val="18"/>
        </w:rPr>
        <w:t>Business Requirement Group ID: BRD-001</w:t>
      </w:r>
    </w:p>
    <w:p>
      <w:pPr>
        <w:pStyle w:val="Heading1"/>
      </w:pPr>
      <w:r>
        <w:t>2. Vision, Mission &amp; Product Principles</w:t>
      </w:r>
    </w:p>
    <w:p>
      <w:r>
        <w:t>Mission: Empower dental professionals with secure, intelligent, easy-to-use technology that improves patient care and clinic efficiency.</w:t>
        <w:br/>
        <w:br/>
        <w:t>Vision: Become a trusted AI-powered Dental Operating System supporting clinics of every size.</w:t>
        <w:br/>
        <w:br/>
        <w:t>Core principles: Patient first; dentist first; AI-assisted and human-led; security by design; privacy by design; API-first; mobile-first; configurable over custom; modular architecture; data-driven decisions; accessibility and usability.</w:t>
      </w:r>
    </w:p>
    <w:p>
      <w:r>
        <w:rPr>
          <w:i/>
          <w:sz w:val="18"/>
        </w:rPr>
        <w:t>Business Requirement Group ID: BRD-002</w:t>
      </w:r>
    </w:p>
    <w:p>
      <w:pPr>
        <w:pStyle w:val="Heading1"/>
      </w:pPr>
      <w:r>
        <w:t>3. Target Users &amp; Stakeholders</w:t>
      </w:r>
    </w:p>
    <w:p>
      <w:r>
        <w:t>Primary users: dentists, specialists, hygienists, dental assistants, receptionists, cashiers, accountants, inventory managers, laboratory coordinators, clinic owners, branch managers, administrators, patients and authorized caregivers.</w:t>
        <w:br/>
        <w:br/>
        <w:t>Enterprise stakeholders: organization owners, finance teams, operations managers, compliance officers, IT administrators, support teams and platform administrators.</w:t>
      </w:r>
    </w:p>
    <w:p>
      <w:r>
        <w:rPr>
          <w:i/>
          <w:sz w:val="18"/>
        </w:rPr>
        <w:t>Business Requirement Group ID: BRD-003</w:t>
      </w:r>
    </w:p>
    <w:p>
      <w:pPr>
        <w:pStyle w:val="Heading1"/>
      </w:pPr>
      <w:r>
        <w:t>4. Product Scope</w:t>
      </w:r>
    </w:p>
    <w:p>
      <w:r>
        <w:t>Core scope: patient/EHR, appointments, clinical management, odontogram, treatment planning, billing, payments, insurance, imaging/PACS, laboratory management, inventory, procurement, sterilization, asset management, CRM, patient engagement, BI, security, multi-clinic SaaS, mobile apps, integrations and AI services.</w:t>
        <w:br/>
        <w:br/>
        <w:t>Future scope: advanced radiographic AI, CAD/CAM integrations, digital smile design, research, education, marketplace, population analytics and federated AI.</w:t>
      </w:r>
    </w:p>
    <w:p>
      <w:r>
        <w:rPr>
          <w:i/>
          <w:sz w:val="18"/>
        </w:rPr>
        <w:t>Business Requirement Group ID: BRD-004</w:t>
      </w:r>
    </w:p>
    <w:p>
      <w:pPr>
        <w:pStyle w:val="Heading1"/>
      </w:pPr>
      <w:r>
        <w:t>5. Patient Management &amp; EHR</w:t>
      </w:r>
    </w:p>
    <w:p>
      <w:r>
        <w:t>Unified patient profiles shall capture demographics, medical and dental history, allergies, medications, emergency contacts, documents, communications, treatment history and longitudinal timelines.</w:t>
        <w:br/>
        <w:br/>
        <w:t>Support family/dependent linking, duplicate detection, configurable intake forms, digital consent, secure document storage, patient tagging and controlled access.</w:t>
        <w:br/>
        <w:br/>
        <w:t>Patient records shall use unique identifiers and provide searchable timelines of appointments, diagnoses, procedures, prescriptions, images, payments, communications and consents.</w:t>
      </w:r>
    </w:p>
    <w:p>
      <w:r>
        <w:rPr>
          <w:i/>
          <w:sz w:val="18"/>
        </w:rPr>
        <w:t>Business Requirement Group ID: BRD-005</w:t>
      </w:r>
    </w:p>
    <w:p>
      <w:pPr>
        <w:pStyle w:val="Heading1"/>
      </w:pPr>
      <w:r>
        <w:t>6. Appointment Scheduling, Calendar &amp; Queue Management</w:t>
      </w:r>
    </w:p>
    <w:p>
      <w:r>
        <w:t>Support omnichannel booking through reception, patient app, website, WhatsApp, AI receptionist, phone, walk-ins and configured external channels.</w:t>
        <w:br/>
        <w:br/>
        <w:t>Provide multi-doctor, multi-chair and resource-aware scheduling, conflict detection, emergency buffers, waitlists, QR check-in, queue management and automated reminders.</w:t>
        <w:br/>
        <w:br/>
        <w:t>AI may recommend appointment slots, optimize resources and identify high no-show risk. Human-configured clinic rules remain authoritative.</w:t>
      </w:r>
    </w:p>
    <w:p>
      <w:r>
        <w:rPr>
          <w:i/>
          <w:sz w:val="18"/>
        </w:rPr>
        <w:t>Business Requirement Group ID: BRD-006</w:t>
      </w:r>
    </w:p>
    <w:p>
      <w:pPr>
        <w:pStyle w:val="Heading1"/>
      </w:pPr>
      <w:r>
        <w:t>7. Clinical Management, Odontogram &amp; Treatment Planning</w:t>
      </w:r>
    </w:p>
    <w:p>
      <w:r>
        <w:t>Provide interactive adult and pediatric odontograms, tooth-surface charting, clinical examinations, diagnoses, structured and narrative notes, SOAP templates, clinical photographs and treatment timelines.</w:t>
        <w:br/>
        <w:br/>
        <w:t>Support phase-based, multi-visit treatment plans, tiered estimates, consent workflows, clinical templates, before/after comparisons and clinician-approved AI drafting.</w:t>
        <w:br/>
        <w:br/>
        <w:t>AI clinical features are decision-support tools only and must not replace professional clinical judgment.</w:t>
      </w:r>
    </w:p>
    <w:p>
      <w:r>
        <w:rPr>
          <w:i/>
          <w:sz w:val="18"/>
        </w:rPr>
        <w:t>Business Requirement Group ID: BRD-007</w:t>
      </w:r>
    </w:p>
    <w:p>
      <w:pPr>
        <w:pStyle w:val="Heading1"/>
      </w:pPr>
      <w:r>
        <w:t>8. Revenue Cycle, Billing, Payments &amp; Insurance</w:t>
      </w:r>
    </w:p>
    <w:p>
      <w:r>
        <w:t>Support treatment estimates, itemized invoices, GST/tax configuration, discounts, packages, memberships, advances, refunds, credit/debit notes, payment reconciliation and receivables.</w:t>
        <w:br/>
        <w:br/>
        <w:t>Support configurable payment methods including UPI, cards, bank transfer and approved financing integrations.</w:t>
        <w:br/>
        <w:br/>
        <w:t>Insurance workflows should include policy data, pre-authorization, claim submission, status tracking, rejection handling and settlement reconciliation where applicable.</w:t>
      </w:r>
    </w:p>
    <w:p>
      <w:r>
        <w:rPr>
          <w:i/>
          <w:sz w:val="18"/>
        </w:rPr>
        <w:t>Business Requirement Group ID: BRD-008</w:t>
      </w:r>
    </w:p>
    <w:p>
      <w:pPr>
        <w:pStyle w:val="Heading1"/>
      </w:pPr>
      <w:r>
        <w:t>9. Diagnostic Imaging &amp; Dental Laboratory</w:t>
      </w:r>
    </w:p>
    <w:p>
      <w:r>
        <w:t>Support clinical images, X-rays, OPG, CBCT, DICOM, PDFs, videos and digital dentistry files such as STL, with metadata, secure storage and controlled sharing.</w:t>
        <w:br/>
        <w:br/>
        <w:t>Provide DICOM viewing capabilities where technically and commercially feasible, including zoom, measurement and annotation.</w:t>
        <w:br/>
        <w:br/>
        <w:t>Laboratory workflows shall track case submission, digital impressions, materials, shade, production status, dispatch, delivery, fitting and remakes.</w:t>
      </w:r>
    </w:p>
    <w:p>
      <w:r>
        <w:rPr>
          <w:i/>
          <w:sz w:val="18"/>
        </w:rPr>
        <w:t>Business Requirement Group ID: BRD-009</w:t>
      </w:r>
    </w:p>
    <w:p>
      <w:pPr>
        <w:pStyle w:val="Heading1"/>
      </w:pPr>
      <w:r>
        <w:t>10. Inventory, Procurement, Asset &amp; Sterilization</w:t>
      </w:r>
    </w:p>
    <w:p>
      <w:r>
        <w:t>Track dental materials, medicines, implants, orthodontic supplies, instruments and other consumables with batch, expiry, barcode/QR and stock movement information.</w:t>
        <w:br/>
        <w:br/>
        <w:t>Support purchase requisitions, approvals, purchase orders, goods receipt, supplier invoices, vendor performance and automated reorder alerts.</w:t>
        <w:br/>
        <w:br/>
        <w:t>Maintain implant traceability, equipment lifecycle, warranty/AMC, calibration, preventive maintenance and sterilization-cycle records.</w:t>
      </w:r>
    </w:p>
    <w:p>
      <w:r>
        <w:rPr>
          <w:i/>
          <w:sz w:val="18"/>
        </w:rPr>
        <w:t>Business Requirement Group ID: BRD-010</w:t>
      </w:r>
    </w:p>
    <w:p>
      <w:pPr>
        <w:pStyle w:val="Heading1"/>
      </w:pPr>
      <w:r>
        <w:t>11. AI Platform &amp; Intelligent Automation</w:t>
      </w:r>
    </w:p>
    <w:p>
      <w:r>
        <w:t>Provide a centralized AI gateway supporting AI receptionist, clinical documentation assistant, voice scribe, patient education, business intelligence, inventory forecasting and marketing assistance.</w:t>
        <w:br/>
        <w:br/>
        <w:t>AI outputs must be identifiable, reviewable and governed. Clinical content requires appropriate human review before becoming part of the official record.</w:t>
        <w:br/>
        <w:br/>
        <w:t>AI infrastructure should support model routing, prompt management, retrieval-augmented generation, evaluation, monitoring, privacy controls and configurable retention.</w:t>
      </w:r>
    </w:p>
    <w:p>
      <w:r>
        <w:rPr>
          <w:i/>
          <w:sz w:val="18"/>
        </w:rPr>
        <w:t>Business Requirement Group ID: BRD-011</w:t>
      </w:r>
    </w:p>
    <w:p>
      <w:pPr>
        <w:pStyle w:val="Heading1"/>
      </w:pPr>
      <w:r>
        <w:t>12. Patient CRM, Engagement, Marketing &amp; Loyalty</w:t>
      </w:r>
    </w:p>
    <w:p>
      <w:r>
        <w:t>Manage leads, patient lifecycle stages, recalls, communication preferences, referrals, feedback, loyalty programs and approved marketing campaigns.</w:t>
        <w:br/>
        <w:br/>
        <w:t>Support WhatsApp, SMS, email, push and in-app communication subject to applicable consent and communication rules.</w:t>
        <w:br/>
        <w:br/>
        <w:t>AI may assist with segmentation, campaign drafting, recall prioritization and performance summaries, with appropriate human approval.</w:t>
      </w:r>
    </w:p>
    <w:p>
      <w:r>
        <w:rPr>
          <w:i/>
          <w:sz w:val="18"/>
        </w:rPr>
        <w:t>Business Requirement Group ID: BRD-012</w:t>
      </w:r>
    </w:p>
    <w:p>
      <w:pPr>
        <w:pStyle w:val="Heading1"/>
      </w:pPr>
      <w:r>
        <w:t>13. Reports, Dashboards &amp; Business Intelligence</w:t>
      </w:r>
    </w:p>
    <w:p>
      <w:r>
        <w:t>Provide executive, clinical, financial, operational, patient, inventory and multi-branch dashboards.</w:t>
        <w:br/>
        <w:br/>
        <w:t>Support custom report building, filters, exports, scheduled delivery, KPI definitions and historical analytics.</w:t>
        <w:br/>
        <w:br/>
        <w:t>AI may provide forecasting and natural-language summaries with confidence indicators where appropriate.</w:t>
      </w:r>
    </w:p>
    <w:p>
      <w:r>
        <w:rPr>
          <w:i/>
          <w:sz w:val="18"/>
        </w:rPr>
        <w:t>Business Requirement Group ID: BRD-013</w:t>
      </w:r>
    </w:p>
    <w:p>
      <w:pPr>
        <w:pStyle w:val="Heading1"/>
      </w:pPr>
      <w:r>
        <w:t>14. Security, Privacy, Compliance &amp; Audit</w:t>
      </w:r>
    </w:p>
    <w:p>
      <w:r>
        <w:t>Use security-by-design and privacy-by-design principles with authentication, MFA, RBAC, encryption, audit trails, session controls, secure file handling, backups and disaster recovery.</w:t>
        <w:br/>
        <w:br/>
        <w:t>Design for readiness toward applicable requirements such as India's DPDP framework and international privacy/security expectations. Compliance depends on organizational processes, configuration and legal obligations.</w:t>
        <w:br/>
        <w:br/>
        <w:t>Sensitive clinical, financial and administrative actions must be auditable and protected by least-privilege access.</w:t>
      </w:r>
    </w:p>
    <w:p>
      <w:r>
        <w:rPr>
          <w:i/>
          <w:sz w:val="18"/>
        </w:rPr>
        <w:t>Business Requirement Group ID: BRD-014</w:t>
      </w:r>
    </w:p>
    <w:p>
      <w:pPr>
        <w:pStyle w:val="Heading1"/>
      </w:pPr>
      <w:r>
        <w:t>15. Multi-Clinic SaaS &amp; Tenant Management</w:t>
      </w:r>
    </w:p>
    <w:p>
      <w:r>
        <w:t>Support organizations, branches, departments, users, subscriptions, feature flags, configurable branding and tenant-aware data isolation.</w:t>
        <w:br/>
        <w:br/>
        <w:t>Support single clinics through enterprise dental groups, with cross-branch reporting and authorized shared operations.</w:t>
        <w:br/>
        <w:br/>
        <w:t>Architecture shall support horizontal scaling, high availability, controlled releases, backups and future regional data-residency requirements.</w:t>
      </w:r>
    </w:p>
    <w:p>
      <w:r>
        <w:rPr>
          <w:i/>
          <w:sz w:val="18"/>
        </w:rPr>
        <w:t>Business Requirement Group ID: BRD-015</w:t>
      </w:r>
    </w:p>
    <w:p>
      <w:pPr>
        <w:pStyle w:val="Heading1"/>
      </w:pPr>
      <w:r>
        <w:t>16. Mobile Applications &amp; Patient Portal</w:t>
      </w:r>
    </w:p>
    <w:p>
      <w:r>
        <w:t>Provide Flutter-based patient, dentist and staff experiences, plus responsive web portals as appropriate.</w:t>
        <w:br/>
        <w:br/>
        <w:t>Patient capabilities should include booking, check-in, invoices, prescriptions, consent, secure communication, treatment education and notifications.</w:t>
        <w:br/>
        <w:br/>
        <w:t>Dentist/staff mobile workflows should support appointments, patient lookup, clinical notes, tasks, alerts and operational actions subject to permissions.</w:t>
      </w:r>
    </w:p>
    <w:p>
      <w:r>
        <w:rPr>
          <w:i/>
          <w:sz w:val="18"/>
        </w:rPr>
        <w:t>Business Requirement Group ID: BRD-016</w:t>
      </w:r>
    </w:p>
    <w:p>
      <w:pPr>
        <w:pStyle w:val="Heading1"/>
      </w:pPr>
      <w:r>
        <w:t>17. Integrations &amp; Open API Platform</w:t>
      </w:r>
    </w:p>
    <w:p>
      <w:r>
        <w:t>Provide versioned REST APIs, webhooks, authentication, rate limits, auditability and developer documentation.</w:t>
        <w:br/>
        <w:br/>
        <w:t>Target integrations include payment gateways, WhatsApp Business, SMS/email providers, calendars, accounting systems, imaging/laboratory systems and AI providers.</w:t>
        <w:br/>
        <w:br/>
        <w:t>Healthcare interoperability should be designed with standards-readiness such as FHIR where applicable and commercially justified.</w:t>
      </w:r>
    </w:p>
    <w:p>
      <w:r>
        <w:rPr>
          <w:i/>
          <w:sz w:val="18"/>
        </w:rPr>
        <w:t>Business Requirement Group ID: BRD-017</w:t>
      </w:r>
    </w:p>
    <w:p>
      <w:pPr>
        <w:pStyle w:val="Heading1"/>
      </w:pPr>
      <w:r>
        <w:t>18. Technical Architecture – Business-Level Requirements</w:t>
      </w:r>
    </w:p>
    <w:p>
      <w:r>
        <w:t>Preferred stack: Flutter for mobile, React for administrative web experiences, FastAPI/Python for backend services, PostgreSQL for transactional data, Redis for caching/background coordination, object storage for files, and a cloud-native deployment model.</w:t>
        <w:br/>
        <w:br/>
        <w:t>Use modular services, reusable platform services, API-first interfaces, centralized identity, notification, document, search, audit, workflow, reporting and AI capabilities.</w:t>
        <w:br/>
        <w:br/>
        <w:t>Architecture must support observability, automated testing, CI/CD, backup/restore, disaster recovery and secure secrets management.</w:t>
      </w:r>
    </w:p>
    <w:p>
      <w:r>
        <w:rPr>
          <w:i/>
          <w:sz w:val="18"/>
        </w:rPr>
        <w:t>Business Requirement Group ID: BRD-018</w:t>
      </w:r>
    </w:p>
    <w:p>
      <w:pPr>
        <w:pStyle w:val="Heading1"/>
      </w:pPr>
      <w:r>
        <w:t>19. Implementation Roadmap</w:t>
      </w:r>
    </w:p>
    <w:p>
      <w:r>
        <w:t>Phase 1: identity, tenant foundation, patient management, appointments, core clinical records, odontogram and billing.</w:t>
        <w:br/>
        <w:br/>
        <w:t>Phase 2: payments, inventory, laboratory, imaging, CRM, patient app and analytics.</w:t>
        <w:br/>
        <w:br/>
        <w:t>Phase 3: AI receptionist, clinical scribe, AI knowledge assistant, forecasting, advanced integrations and enterprise capabilities.</w:t>
        <w:br/>
        <w:br/>
        <w:t>Phase 4: marketplace, advanced digital dentistry, research/education capabilities and international expansion.</w:t>
      </w:r>
    </w:p>
    <w:p>
      <w:r>
        <w:rPr>
          <w:i/>
          <w:sz w:val="18"/>
        </w:rPr>
        <w:t>Business Requirement Group ID: BRD-019</w:t>
      </w:r>
    </w:p>
    <w:p>
      <w:pPr>
        <w:pStyle w:val="Heading1"/>
      </w:pPr>
      <w:r>
        <w:t>20. Master Build &amp; Governance Requirements</w:t>
      </w:r>
    </w:p>
    <w:p>
      <w:r>
        <w:t>AI coding tools should build incrementally rather than generating the entire platform in one pass.</w:t>
        <w:br/>
        <w:br/>
        <w:t>Each module should progress through requirements, functional specification, UI/UX, database design, API design, implementation, automated tests, security review, deployment and documentation.</w:t>
        <w:br/>
        <w:br/>
        <w:t>Use unique requirement IDs, acceptance criteria, ADRs, version control, CI/CD, code review, test automation and explicit stop conditions.</w:t>
        <w:br/>
        <w:br/>
        <w:t>Documentation should remain a living source of truth and must be synchronized with implemented behavior.</w:t>
      </w:r>
    </w:p>
    <w:p>
      <w:r>
        <w:rPr>
          <w:i/>
          <w:sz w:val="18"/>
        </w:rPr>
        <w:t>Business Requirement Group ID: BRD-020</w:t>
      </w:r>
    </w:p>
    <w:p>
      <w:pPr>
        <w:pStyle w:val="Heading1"/>
      </w:pPr>
      <w:r>
        <w:t>21. Non-Functional Requirements</w:t>
      </w:r>
    </w:p>
    <w:p>
      <w:r>
        <w:t>Security: least privilege, encryption, MFA capability, auditability and secure development lifecycle.</w:t>
        <w:br/>
        <w:br/>
        <w:t>Performance: responsive user experience, efficient APIs, caching where appropriate and asynchronous processing for long-running tasks.</w:t>
        <w:br/>
        <w:br/>
        <w:t>Availability: design toward high availability with monitored services and tested recovery procedures.</w:t>
        <w:br/>
        <w:br/>
        <w:t>Scalability: horizontal scaling and tenant-aware architecture.</w:t>
        <w:br/>
        <w:br/>
        <w:t>Usability: simple workflows, responsive interfaces, accessibility-conscious design and minimal unnecessary clicks.</w:t>
        <w:br/>
        <w:br/>
        <w:t>Maintainability: modular code, automated tests, documented APIs and architecture decisions.</w:t>
        <w:br/>
        <w:br/>
        <w:t>Observability: structured logs, metrics, traces, health checks and alerting.</w:t>
      </w:r>
    </w:p>
    <w:p>
      <w:r>
        <w:rPr>
          <w:i/>
          <w:sz w:val="18"/>
        </w:rPr>
        <w:t>Business Requirement Group ID: BRD-021</w:t>
      </w:r>
    </w:p>
    <w:p>
      <w:pPr>
        <w:pStyle w:val="Heading1"/>
      </w:pPr>
      <w:r>
        <w:t>22. Key Success Metrics</w:t>
      </w:r>
    </w:p>
    <w:p>
      <w:r>
        <w:t>Clinical: reduced documentation time, improved recall compliance and treatment workflow completion.</w:t>
        <w:br/>
        <w:br/>
        <w:t>Operational: lower no-show rate, improved chair utilization and reduced patient waiting time.</w:t>
        <w:br/>
        <w:br/>
        <w:t>Financial: improved collection rate, reduced revenue leakage and inventory waste.</w:t>
        <w:br/>
        <w:br/>
        <w:t>Patient: satisfaction, retention, referral and digital engagement.</w:t>
        <w:br/>
        <w:br/>
        <w:t>Technical: availability, latency, test coverage, recovery reliability and security findings.</w:t>
      </w:r>
    </w:p>
    <w:p>
      <w:r>
        <w:rPr>
          <w:i/>
          <w:sz w:val="18"/>
        </w:rPr>
        <w:t>Business Requirement Group ID: BRD-022</w:t>
      </w:r>
    </w:p>
    <w:p>
      <w:pPr>
        <w:pStyle w:val="Heading1"/>
      </w:pPr>
      <w:r>
        <w:t>23. Key Risks &amp; Mitigations</w:t>
      </w:r>
    </w:p>
    <w:p>
      <w:r>
        <w:t>Scope risk: use phased delivery and strict MVP boundaries.</w:t>
        <w:br/>
        <w:br/>
        <w:t>AI safety risk: human review, evaluation, monitoring and conservative release policies.</w:t>
        <w:br/>
        <w:br/>
        <w:t>Privacy/security risk: privacy-by-design, RBAC, encryption, audit and security testing.</w:t>
        <w:br/>
        <w:br/>
        <w:t>Integration risk: adapters, versioned APIs and contract testing.</w:t>
        <w:br/>
        <w:br/>
        <w:t>Data migration risk: validation, reconciliation, rollback and staged migrations.</w:t>
        <w:br/>
        <w:br/>
        <w:t>Operational complexity: centralized platform services and consistent engineering standards.</w:t>
      </w:r>
    </w:p>
    <w:p>
      <w:r>
        <w:rPr>
          <w:i/>
          <w:sz w:val="18"/>
        </w:rPr>
        <w:t>Business Requirement Group ID: BRD-023</w:t>
      </w:r>
    </w:p>
    <w:p>
      <w:pPr>
        <w:pStyle w:val="Heading1"/>
      </w:pPr>
      <w:r>
        <w:t>24. Out of Scope for Initial MVP</w:t>
      </w:r>
    </w:p>
    <w:p>
      <w:r>
        <w:t>Autonomous diagnosis or prescribing.</w:t>
        <w:br/>
        <w:br/>
        <w:t>Fully automated radiographic diagnosis without clinician review.</w:t>
        <w:br/>
        <w:br/>
        <w:t>Complex payroll/accounting functionality unless required for pilot clinics.</w:t>
        <w:br/>
        <w:br/>
        <w:t>Global regulatory certification claims before jurisdiction-specific assessment.</w:t>
        <w:br/>
        <w:br/>
        <w:t>Large-scale marketplace and research ecosystem.</w:t>
        <w:br/>
        <w:br/>
        <w:t>Full CAD/CAM or device integration before target hardware and commercial APIs are validated.</w:t>
      </w:r>
    </w:p>
    <w:p>
      <w:r>
        <w:rPr>
          <w:i/>
          <w:sz w:val="18"/>
        </w:rPr>
        <w:t>Business Requirement Group ID: BRD-024</w:t>
      </w:r>
    </w:p>
    <w:p>
      <w:pPr>
        <w:pStyle w:val="Heading1"/>
      </w:pPr>
      <w:r>
        <w:t>25. Acceptance &amp; Governance</w:t>
      </w:r>
    </w:p>
    <w:p>
      <w:r>
        <w:t>Each major release shall have approved requirements, implementation, automated tests, security review, documentation, migration/rollback planning and deployment verification.</w:t>
      </w:r>
    </w:p>
    <w:p>
      <w:r>
        <w:rPr>
          <w:i/>
          <w:sz w:val="18"/>
        </w:rPr>
        <w:t>Business Requirement Group ID: BRD-025</w:t>
      </w:r>
    </w:p>
    <w:p>
      <w:pPr>
        <w:pStyle w:val="Heading1"/>
      </w:pPr>
      <w:r>
        <w:t>26. Governance &amp; Traceability Rules</w:t>
      </w:r>
    </w:p>
    <w:p>
      <w:r>
        <w:t>This BRD is authoritative for product/business intent only after APPROVED or BASELINED status. Detailed functional behavior belongs in the FRS; architecture belongs in SAD/TDD; persistent data contracts belong in DDD; API contracts belong in Volume 06; security controls belong in Volume 07; verification evidence belongs in Volume 08.</w:t>
      </w:r>
    </w:p>
    <w:p>
      <w:pPr>
        <w:pStyle w:val="ListBullet"/>
      </w:pPr>
      <w:r>
        <w:t>Material business requirements must be represented in TDA-GOV-RTM-001.</w:t>
      </w:r>
    </w:p>
    <w:p>
      <w:pPr>
        <w:pStyle w:val="ListBullet"/>
      </w:pPr>
      <w:r>
        <w:t>BRD requirement-group IDs must be preserved across revisions unless the requirement is replaced.</w:t>
      </w:r>
    </w:p>
    <w:p>
      <w:pPr>
        <w:pStyle w:val="ListBullet"/>
      </w:pPr>
      <w:r>
        <w:t>A technology preference in this BRD must not override an approved technical architecture or ADR.</w:t>
      </w:r>
    </w:p>
    <w:p>
      <w:pPr>
        <w:pStyle w:val="ListBullet"/>
      </w:pPr>
      <w:r>
        <w:t>If BRD, FRS, TDD, DDD or API documents conflict, apply TDA-GOV-SOT-001 and stop implementation when the conflict is material.</w:t>
      </w:r>
    </w:p>
    <w:p>
      <w:pPr>
        <w:pStyle w:val="ListBullet"/>
      </w:pPr>
      <w:r>
        <w:t>Material changes to this BRD follow TDA-GOV-CMP-001.</w:t>
      </w:r>
    </w:p>
    <w:p>
      <w:pPr>
        <w:pStyle w:val="ListBullet"/>
      </w:pPr>
      <w:r>
        <w:t>Cursor must use the BRD as business-context input and must not invent requirements not present in approved sources, consistent with TDA-GOV-CUR-001.</w:t>
      </w:r>
    </w:p>
    <w:p>
      <w:pPr>
        <w:pStyle w:val="Heading1"/>
      </w:pPr>
      <w:r>
        <w:t>27. BRD-to-FRS Traceability Boundary</w:t>
      </w:r>
    </w:p>
    <w:p>
      <w:r>
        <w:t>The BRD expresses business outcomes and product capabilities. The FRS converts those outcomes into detailed, testable functional requirements.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BRD Group</w:t>
            </w:r>
          </w:p>
        </w:tc>
        <w:tc>
          <w:tcPr>
            <w:tcW w:type="dxa" w:w="3360"/>
          </w:tcPr>
          <w:p>
            <w:r>
              <w:t>Example Outcome</w:t>
            </w:r>
          </w:p>
        </w:tc>
        <w:tc>
          <w:tcPr>
            <w:tcW w:type="dxa" w:w="3360"/>
          </w:tcPr>
          <w:p>
            <w:r>
              <w:t>FRS / Downstream Treatment</w:t>
            </w:r>
          </w:p>
        </w:tc>
      </w:tr>
      <w:tr>
        <w:tc>
          <w:tcPr>
            <w:tcW w:type="dxa" w:w="3360"/>
          </w:tcPr>
          <w:p>
            <w:r>
              <w:t>BRD-006</w:t>
            </w:r>
          </w:p>
        </w:tc>
        <w:tc>
          <w:tcPr>
            <w:tcW w:type="dxa" w:w="3360"/>
          </w:tcPr>
          <w:p>
            <w:r>
              <w:t>Appointment scheduling and lifecycle</w:t>
            </w:r>
          </w:p>
        </w:tc>
        <w:tc>
          <w:tcPr>
            <w:tcW w:type="dxa" w:w="3360"/>
          </w:tcPr>
          <w:p>
            <w:r>
              <w:t>FRS APT-*; Appointment Domain Specification; DDD; API; tests</w:t>
            </w:r>
          </w:p>
        </w:tc>
      </w:tr>
      <w:tr>
        <w:tc>
          <w:tcPr>
            <w:tcW w:type="dxa" w:w="3360"/>
          </w:tcPr>
          <w:p>
            <w:r>
              <w:t>BRD-005</w:t>
            </w:r>
          </w:p>
        </w:tc>
        <w:tc>
          <w:tcPr>
            <w:tcW w:type="dxa" w:w="3360"/>
          </w:tcPr>
          <w:p>
            <w:r>
              <w:t>Patient/EHR management</w:t>
            </w:r>
          </w:p>
        </w:tc>
        <w:tc>
          <w:tcPr>
            <w:tcW w:type="dxa" w:w="3360"/>
          </w:tcPr>
          <w:p>
            <w:r>
              <w:t>FRS PAT-*; Patient Domain Specification; DDD; API; tests</w:t>
            </w:r>
          </w:p>
        </w:tc>
      </w:tr>
      <w:tr>
        <w:tc>
          <w:tcPr>
            <w:tcW w:type="dxa" w:w="3360"/>
          </w:tcPr>
          <w:p>
            <w:r>
              <w:t>BRD-014</w:t>
            </w:r>
          </w:p>
        </w:tc>
        <w:tc>
          <w:tcPr>
            <w:tcW w:type="dxa" w:w="3360"/>
          </w:tcPr>
          <w:p>
            <w:r>
              <w:t>Security, privacy and audit</w:t>
            </w:r>
          </w:p>
        </w:tc>
        <w:tc>
          <w:tcPr>
            <w:tcW w:type="dxa" w:w="3360"/>
          </w:tcPr>
          <w:p>
            <w:r>
              <w:t>FRS IAM/SEC/AUD; Security Volume 07; DDD/API/tests</w:t>
            </w:r>
          </w:p>
        </w:tc>
      </w:tr>
      <w:tr>
        <w:tc>
          <w:tcPr>
            <w:tcW w:type="dxa" w:w="3360"/>
          </w:tcPr>
          <w:p>
            <w:r>
              <w:t>BRD-017</w:t>
            </w:r>
          </w:p>
        </w:tc>
        <w:tc>
          <w:tcPr>
            <w:tcW w:type="dxa" w:w="3360"/>
          </w:tcPr>
          <w:p>
            <w:r>
              <w:t>Versioned APIs and integrations</w:t>
            </w:r>
          </w:p>
        </w:tc>
        <w:tc>
          <w:tcPr>
            <w:tcW w:type="dxa" w:w="3360"/>
          </w:tcPr>
          <w:p>
            <w:r>
              <w:t>API Volume 06; integration contracts; contract tests</w:t>
            </w:r>
          </w:p>
        </w:tc>
      </w:tr>
      <w:tr>
        <w:tc>
          <w:tcPr>
            <w:tcW w:type="dxa" w:w="3360"/>
          </w:tcPr>
          <w:p>
            <w:r>
              <w:t>BRD-018</w:t>
            </w:r>
          </w:p>
        </w:tc>
        <w:tc>
          <w:tcPr>
            <w:tcW w:type="dxa" w:w="3360"/>
          </w:tcPr>
          <w:p>
            <w:r>
              <w:t>Architecture and platform capabilities</w:t>
            </w:r>
          </w:p>
        </w:tc>
        <w:tc>
          <w:tcPr>
            <w:tcW w:type="dxa" w:w="3360"/>
          </w:tcPr>
          <w:p>
            <w:r>
              <w:t>SAD/TDD/ADR; infrastructure and operational specifications</w:t>
            </w:r>
          </w:p>
        </w:tc>
      </w:tr>
      <w:tr>
        <w:tc>
          <w:tcPr>
            <w:tcW w:type="dxa" w:w="3360"/>
          </w:tcPr>
          <w:p>
            <w:r>
              <w:t>BRD-020</w:t>
            </w:r>
          </w:p>
        </w:tc>
        <w:tc>
          <w:tcPr>
            <w:tcW w:type="dxa" w:w="3360"/>
          </w:tcPr>
          <w:p>
            <w:r>
              <w:t>Incremental AI-assisted implementation governance</w:t>
            </w:r>
          </w:p>
        </w:tc>
        <w:tc>
          <w:tcPr>
            <w:tcW w:type="dxa" w:w="3360"/>
          </w:tcPr>
          <w:p>
            <w:r>
              <w:t>TDA-GOV-CUR-001 / CMP-001; governance, not a product feature</w:t>
            </w:r>
          </w:p>
        </w:tc>
      </w:tr>
    </w:tbl>
    <w:p>
      <w:pPr>
        <w:pStyle w:val="Heading1"/>
      </w:pPr>
      <w:r>
        <w:t>28. Approval &amp; Baseline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Field</w:t>
            </w:r>
          </w:p>
        </w:tc>
        <w:tc>
          <w:tcPr>
            <w:tcW w:type="dxa" w:w="3360"/>
          </w:tcPr>
          <w:p>
            <w:r>
              <w:t>Value</w:t>
            </w:r>
          </w:p>
        </w:tc>
        <w:tc>
          <w:tcPr>
            <w:tcW w:type="dxa" w:w="3360"/>
          </w:tcPr>
          <w:p>
            <w:r>
              <w:t>Notes</w:t>
            </w:r>
          </w:p>
        </w:tc>
      </w:tr>
      <w:tr>
        <w:tc>
          <w:tcPr>
            <w:tcW w:type="dxa" w:w="3360"/>
          </w:tcPr>
          <w:p>
            <w:r>
              <w:t>Current status</w:t>
            </w:r>
          </w:p>
        </w:tc>
        <w:tc>
          <w:tcPr>
            <w:tcW w:type="dxa" w:w="3360"/>
          </w:tcPr>
          <w:p>
            <w:r>
              <w:t>REVIEW</w:t>
            </w:r>
          </w:p>
        </w:tc>
        <w:tc>
          <w:tcPr>
            <w:tcW w:type="dxa" w:w="3360"/>
          </w:tcPr>
          <w:p>
            <w:r>
              <w:t>Ready for controlled review; not yet APPROVED.</w:t>
            </w:r>
          </w:p>
        </w:tc>
      </w:tr>
      <w:tr>
        <w:tc>
          <w:tcPr>
            <w:tcW w:type="dxa" w:w="3360"/>
          </w:tcPr>
          <w:p>
            <w:r>
              <w:t>Supersedes</w:t>
            </w:r>
          </w:p>
        </w:tc>
        <w:tc>
          <w:tcPr>
            <w:tcW w:type="dxa" w:w="3360"/>
          </w:tcPr>
          <w:p>
            <w:r>
              <w:t>BRD v1.0</w:t>
            </w:r>
          </w:p>
        </w:tc>
        <w:tc>
          <w:tcPr>
            <w:tcW w:type="dxa" w:w="3360"/>
          </w:tcPr>
          <w:p>
            <w:r>
              <w:t>Valid content retained and governance-aligned.</w:t>
            </w:r>
          </w:p>
        </w:tc>
      </w:tr>
      <w:tr>
        <w:tc>
          <w:tcPr>
            <w:tcW w:type="dxa" w:w="3360"/>
          </w:tcPr>
          <w:p>
            <w:r>
              <w:t>Business owner</w:t>
            </w:r>
          </w:p>
        </w:tc>
        <w:tc>
          <w:tcPr>
            <w:tcW w:type="dxa" w:w="3360"/>
          </w:tcPr>
          <w:p>
            <w:r>
              <w:t>To be assigned</w:t>
            </w:r>
          </w:p>
        </w:tc>
        <w:tc>
          <w:tcPr>
            <w:tcW w:type="dxa" w:w="3360"/>
          </w:tcPr>
          <w:p>
            <w:r>
              <w:t>Approval authority must be identified before baseline.</w:t>
            </w:r>
          </w:p>
        </w:tc>
      </w:tr>
      <w:tr>
        <w:tc>
          <w:tcPr>
            <w:tcW w:type="dxa" w:w="3360"/>
          </w:tcPr>
          <w:p>
            <w:r>
              <w:t>Next dependency</w:t>
            </w:r>
          </w:p>
        </w:tc>
        <w:tc>
          <w:tcPr>
            <w:tcW w:type="dxa" w:w="3360"/>
          </w:tcPr>
          <w:p>
            <w:r>
              <w:t>Volume 02 FRS v1.1</w:t>
            </w:r>
          </w:p>
        </w:tc>
        <w:tc>
          <w:tcPr>
            <w:tcW w:type="dxa" w:w="3360"/>
          </w:tcPr>
          <w:p>
            <w:r>
              <w:t>FRS should map high-priority requirements to BRD groups.</w:t>
            </w:r>
          </w:p>
        </w:tc>
      </w:tr>
      <w:tr>
        <w:tc>
          <w:tcPr>
            <w:tcW w:type="dxa" w:w="3360"/>
          </w:tcPr>
          <w:p>
            <w:r>
              <w:t>Traceability</w:t>
            </w:r>
          </w:p>
        </w:tc>
        <w:tc>
          <w:tcPr>
            <w:tcW w:type="dxa" w:w="3360"/>
          </w:tcPr>
          <w:p>
            <w:r>
              <w:t>TDA-GOV-RTM-001</w:t>
            </w:r>
          </w:p>
        </w:tc>
        <w:tc>
          <w:tcPr>
            <w:tcW w:type="dxa" w:w="3360"/>
          </w:tcPr>
          <w:p>
            <w:r>
              <w:t>RTM should be updated after BRD approval.</w:t>
            </w:r>
          </w:p>
        </w:tc>
      </w:tr>
    </w:tbl>
    <w:p>
      <w:pPr>
        <w:pStyle w:val="Heading1"/>
      </w:pPr>
      <w:r>
        <w:t>29. Governance Statement</w:t>
      </w:r>
    </w:p>
    <w:p>
      <w:r>
        <w:rPr>
          <w:b/>
        </w:rPr>
        <w:t>This BRD is intentionally not a 1,000-page implementation manual. It defines business intent and product scope from which detailed, modular engineering documents are derived. Keeping those concerns separate is a deliberate control for human reviewers and Cursor AI.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