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DentalCare AI</w:t>
      </w:r>
    </w:p>
    <w:p>
      <w:pPr>
        <w:jc w:val="center"/>
      </w:pPr>
      <w:r>
        <w:rPr>
          <w:b/>
          <w:sz w:val="34"/>
        </w:rPr>
        <w:t>Volume 03 — Technical Design Document (TDD)</w:t>
      </w:r>
    </w:p>
    <w:p>
      <w:pPr>
        <w:jc w:val="center"/>
      </w:pPr>
      <w:r>
        <w:rPr>
          <w:b/>
          <w:sz w:val="26"/>
        </w:rPr>
        <w:t>Governance-Aligned Revision v1.1</w:t>
      </w:r>
    </w:p>
    <w:p>
      <w:pPr>
        <w:jc w:val="center"/>
      </w:pPr>
      <w:r>
        <w:rPr>
          <w:i/>
        </w:rPr>
        <w:t>Status: REVIEW | Date: 14 August 2026 | Controlled successor to TDD v1.0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Field</w:t>
            </w:r>
          </w:p>
        </w:tc>
        <w:tc>
          <w:tcPr>
            <w:tcW w:type="dxa" w:w="5112"/>
          </w:tcPr>
          <w:p>
            <w:r>
              <w:t>Controlled Value</w:t>
            </w:r>
          </w:p>
        </w:tc>
      </w:tr>
      <w:tr>
        <w:tc>
          <w:tcPr>
            <w:tcW w:type="dxa" w:w="5112"/>
          </w:tcPr>
          <w:p>
            <w:r>
              <w:t>Document ID</w:t>
            </w:r>
          </w:p>
        </w:tc>
        <w:tc>
          <w:tcPr>
            <w:tcW w:type="dxa" w:w="5112"/>
          </w:tcPr>
          <w:p>
            <w:r>
              <w:t>TDA-TDD-001</w:t>
            </w:r>
          </w:p>
        </w:tc>
      </w:tr>
      <w:tr>
        <w:tc>
          <w:tcPr>
            <w:tcW w:type="dxa" w:w="5112"/>
          </w:tcPr>
          <w:p>
            <w:r>
              <w:t>Volume</w:t>
            </w:r>
          </w:p>
        </w:tc>
        <w:tc>
          <w:tcPr>
            <w:tcW w:type="dxa" w:w="5112"/>
          </w:tcPr>
          <w:p>
            <w:r>
              <w:t>03 — Technical Design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Technical Design Document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1.1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REVIEW</w:t>
            </w:r>
          </w:p>
        </w:tc>
      </w:tr>
      <w:tr>
        <w:tc>
          <w:tcPr>
            <w:tcW w:type="dxa" w:w="5112"/>
          </w:tcPr>
          <w:p>
            <w:r>
              <w:t>Previous Version</w:t>
            </w:r>
          </w:p>
        </w:tc>
        <w:tc>
          <w:tcPr>
            <w:tcW w:type="dxa" w:w="5112"/>
          </w:tcPr>
          <w:p>
            <w:r>
              <w:t>DentalCare AI Volume 3 TDD v1.0</w:t>
            </w:r>
          </w:p>
        </w:tc>
      </w:tr>
      <w:tr>
        <w:tc>
          <w:tcPr>
            <w:tcW w:type="dxa" w:w="5112"/>
          </w:tcPr>
          <w:p>
            <w:r>
              <w:t>Business Source</w:t>
            </w:r>
          </w:p>
        </w:tc>
        <w:tc>
          <w:tcPr>
            <w:tcW w:type="dxa" w:w="5112"/>
          </w:tcPr>
          <w:p>
            <w:r>
              <w:t>TDA-PRD-BRD-001 — BRD v1.1</w:t>
            </w:r>
          </w:p>
        </w:tc>
      </w:tr>
      <w:tr>
        <w:tc>
          <w:tcPr>
            <w:tcW w:type="dxa" w:w="5112"/>
          </w:tcPr>
          <w:p>
            <w:r>
              <w:t>Functional Source</w:t>
            </w:r>
          </w:p>
        </w:tc>
        <w:tc>
          <w:tcPr>
            <w:tcW w:type="dxa" w:w="5112"/>
          </w:tcPr>
          <w:p>
            <w:r>
              <w:t>TDA-FRS-001 — FRS v1.1</w:t>
            </w:r>
          </w:p>
        </w:tc>
      </w:tr>
      <w:tr>
        <w:tc>
          <w:tcPr>
            <w:tcW w:type="dxa" w:w="5112"/>
          </w:tcPr>
          <w:p>
            <w:r>
              <w:t>Database Source</w:t>
            </w:r>
          </w:p>
        </w:tc>
        <w:tc>
          <w:tcPr>
            <w:tcW w:type="dxa" w:w="5112"/>
          </w:tcPr>
          <w:p>
            <w:r>
              <w:t>Volume 04 — DDD, domain-by-domain</w:t>
            </w:r>
          </w:p>
        </w:tc>
      </w:tr>
      <w:tr>
        <w:tc>
          <w:tcPr>
            <w:tcW w:type="dxa" w:w="5112"/>
          </w:tcPr>
          <w:p>
            <w:r>
              <w:t>Traceability</w:t>
            </w:r>
          </w:p>
        </w:tc>
        <w:tc>
          <w:tcPr>
            <w:tcW w:type="dxa" w:w="5112"/>
          </w:tcPr>
          <w:p>
            <w:r>
              <w:t>TDA-GOV-RTM-001</w:t>
            </w:r>
          </w:p>
        </w:tc>
      </w:tr>
      <w:tr>
        <w:tc>
          <w:tcPr>
            <w:tcW w:type="dxa" w:w="5112"/>
          </w:tcPr>
          <w:p>
            <w:r>
              <w:t>Source-of-Truth</w:t>
            </w:r>
          </w:p>
        </w:tc>
        <w:tc>
          <w:tcPr>
            <w:tcW w:type="dxa" w:w="5112"/>
          </w:tcPr>
          <w:p>
            <w:r>
              <w:t>TDA-GOV-SOT-001</w:t>
            </w:r>
          </w:p>
        </w:tc>
      </w:tr>
      <w:tr>
        <w:tc>
          <w:tcPr>
            <w:tcW w:type="dxa" w:w="5112"/>
          </w:tcPr>
          <w:p>
            <w:r>
              <w:t>Change Management</w:t>
            </w:r>
          </w:p>
        </w:tc>
        <w:tc>
          <w:tcPr>
            <w:tcW w:type="dxa" w:w="5112"/>
          </w:tcPr>
          <w:p>
            <w:r>
              <w:t>TDA-GOV-CMP-001</w:t>
            </w:r>
          </w:p>
        </w:tc>
      </w:tr>
      <w:tr>
        <w:tc>
          <w:tcPr>
            <w:tcW w:type="dxa" w:w="5112"/>
          </w:tcPr>
          <w:p>
            <w:r>
              <w:t>Cursor Rules</w:t>
            </w:r>
          </w:p>
        </w:tc>
        <w:tc>
          <w:tcPr>
            <w:tcW w:type="dxa" w:w="5112"/>
          </w:tcPr>
          <w:p>
            <w:r>
              <w:t>TDA-GOV-CUR-001</w:t>
            </w:r>
          </w:p>
        </w:tc>
      </w:tr>
    </w:tbl>
    <w:p>
      <w:pPr>
        <w:pStyle w:val="Heading1"/>
      </w:pPr>
      <w:r>
        <w:t>2. Revision 1.1 — Purpose &amp; Scope</w:t>
      </w:r>
    </w:p>
    <w:p>
      <w:r>
        <w:t>This revision retains the architecture baseline of TDD v1.0 and expands it into an implementation-oriented technical contract. The objective is to provide enough technical precision for controlled development without turning the TDD into a code dump or a 1,000-page implementation manual.</w:t>
      </w:r>
    </w:p>
    <w:p>
      <w:pPr>
        <w:pStyle w:val="ListBullet"/>
      </w:pPr>
      <w:r>
        <w:t>Define system boundaries and major runtime components.</w:t>
      </w:r>
    </w:p>
    <w:p>
      <w:pPr>
        <w:pStyle w:val="ListBullet"/>
      </w:pPr>
      <w:r>
        <w:t>Define frontend and backend responsibilities and dependency direction.</w:t>
      </w:r>
    </w:p>
    <w:p>
      <w:pPr>
        <w:pStyle w:val="ListBullet"/>
      </w:pPr>
      <w:r>
        <w:t>Define tenant isolation and security boundaries.</w:t>
      </w:r>
    </w:p>
    <w:p>
      <w:pPr>
        <w:pStyle w:val="ListBullet"/>
      </w:pPr>
      <w:r>
        <w:t>Define transaction, consistency, idempotency and background-processing patterns.</w:t>
      </w:r>
    </w:p>
    <w:p>
      <w:pPr>
        <w:pStyle w:val="ListBullet"/>
      </w:pPr>
      <w:r>
        <w:t>Formally baseline the implemented Appointment → History → Audit → Notification Outbox → Dispatcher architecture.</w:t>
      </w:r>
    </w:p>
    <w:p>
      <w:pPr>
        <w:pStyle w:val="ListBullet"/>
      </w:pPr>
      <w:r>
        <w:t>Define API, data-access, observability, file, AI and integration conventions at technical-design level.</w:t>
      </w:r>
    </w:p>
    <w:p>
      <w:pPr>
        <w:pStyle w:val="ListBullet"/>
      </w:pPr>
      <w:r>
        <w:t>Define deployment, reliability, backup and recovery expectations.</w:t>
      </w:r>
    </w:p>
    <w:p>
      <w:pPr>
        <w:pStyle w:val="Heading1"/>
      </w:pPr>
      <w:r>
        <w:t>3. Architecture Principles</w:t>
      </w:r>
    </w:p>
    <w:p>
      <w:pPr>
        <w:pStyle w:val="ListBullet"/>
      </w:pPr>
      <w:r>
        <w:t>Modular over unnecessarily distributed: prefer a modular monolith/service-oriented internal structure until scale or organizational boundaries justify decomposition.</w:t>
      </w:r>
    </w:p>
    <w:p>
      <w:pPr>
        <w:pStyle w:val="ListBullet"/>
      </w:pPr>
      <w:r>
        <w:t>API-first: external and internal consumers use explicit versioned contracts.</w:t>
      </w:r>
    </w:p>
    <w:p>
      <w:pPr>
        <w:pStyle w:val="ListBullet"/>
      </w:pPr>
      <w:r>
        <w:t>Domain ownership: business logic belongs in the appropriate domain/application layer.</w:t>
      </w:r>
    </w:p>
    <w:p>
      <w:pPr>
        <w:pStyle w:val="ListBullet"/>
      </w:pPr>
      <w:r>
        <w:t>Tenant-aware by construction: tenant context is established early and enforced throughout request, data, cache, job, file and search paths.</w:t>
      </w:r>
    </w:p>
    <w:p>
      <w:pPr>
        <w:pStyle w:val="ListBullet"/>
      </w:pPr>
      <w:r>
        <w:t>Transactional integrity: high-value state changes and their required history/audit/outbox records are committed atomically.</w:t>
      </w:r>
    </w:p>
    <w:p>
      <w:pPr>
        <w:pStyle w:val="ListBullet"/>
      </w:pPr>
      <w:r>
        <w:t>Asynchronous external effects: external provider calls occur outside critical transactional domain paths when the approved outbox architecture applies.</w:t>
      </w:r>
    </w:p>
    <w:p>
      <w:pPr>
        <w:pStyle w:val="ListBullet"/>
      </w:pPr>
      <w:r>
        <w:t>Security by design and privacy by design.</w:t>
      </w:r>
    </w:p>
    <w:p>
      <w:pPr>
        <w:pStyle w:val="ListBullet"/>
      </w:pPr>
      <w:r>
        <w:t>Observable by default: structured logs, metrics, traces, correlation IDs and health signals.</w:t>
      </w:r>
    </w:p>
    <w:p>
      <w:pPr>
        <w:pStyle w:val="ListBullet"/>
      </w:pPr>
      <w:r>
        <w:t>Backward compatibility is preferred for APIs and data migrations.</w:t>
      </w:r>
    </w:p>
    <w:p>
      <w:pPr>
        <w:pStyle w:val="ListBullet"/>
      </w:pPr>
      <w:r>
        <w:t>AI-assisted development does not change engineering governance.</w:t>
      </w:r>
    </w:p>
    <w:p>
      <w:pPr>
        <w:pStyle w:val="Heading1"/>
      </w:pPr>
      <w:r>
        <w:t>4. Logical Architecture</w:t>
      </w:r>
    </w:p>
    <w:p>
      <w:r>
        <w:rPr>
          <w:b/>
        </w:rPr>
        <w:t>Client → Edge/API → Application &amp; Domain → Platform Services → Data/Storage → External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Layer</w:t>
            </w:r>
          </w:p>
        </w:tc>
        <w:tc>
          <w:tcPr>
            <w:tcW w:type="dxa" w:w="2556"/>
          </w:tcPr>
          <w:p>
            <w:r>
              <w:t>Responsibilities</w:t>
            </w:r>
          </w:p>
        </w:tc>
        <w:tc>
          <w:tcPr>
            <w:tcW w:type="dxa" w:w="2556"/>
          </w:tcPr>
          <w:p>
            <w:r>
              <w:t>Examples</w:t>
            </w:r>
          </w:p>
        </w:tc>
        <w:tc>
          <w:tcPr>
            <w:tcW w:type="dxa" w:w="2556"/>
          </w:tcPr>
          <w:p>
            <w:r>
              <w:t>Boundary Rule</w:t>
            </w:r>
          </w:p>
        </w:tc>
      </w:tr>
      <w:tr>
        <w:tc>
          <w:tcPr>
            <w:tcW w:type="dxa" w:w="2556"/>
          </w:tcPr>
          <w:p>
            <w:r>
              <w:t>Client</w:t>
            </w:r>
          </w:p>
        </w:tc>
        <w:tc>
          <w:tcPr>
            <w:tcW w:type="dxa" w:w="2556"/>
          </w:tcPr>
          <w:p>
            <w:r>
              <w:t>User interaction, local state, validation hints, presentation</w:t>
            </w:r>
          </w:p>
        </w:tc>
        <w:tc>
          <w:tcPr>
            <w:tcW w:type="dxa" w:w="2556"/>
          </w:tcPr>
          <w:p>
            <w:r>
              <w:t>Flutter patient/staff apps; React admin web</w:t>
            </w:r>
          </w:p>
        </w:tc>
        <w:tc>
          <w:tcPr>
            <w:tcW w:type="dxa" w:w="2556"/>
          </w:tcPr>
          <w:p>
            <w:r>
              <w:t>Must not be authoritative for authorization.</w:t>
            </w:r>
          </w:p>
        </w:tc>
      </w:tr>
      <w:tr>
        <w:tc>
          <w:tcPr>
            <w:tcW w:type="dxa" w:w="2556"/>
          </w:tcPr>
          <w:p>
            <w:r>
              <w:t>Edge/API</w:t>
            </w:r>
          </w:p>
        </w:tc>
        <w:tc>
          <w:tcPr>
            <w:tcW w:type="dxa" w:w="2556"/>
          </w:tcPr>
          <w:p>
            <w:r>
              <w:t>Routing, authentication context, validation, rate limiting, request correlation</w:t>
            </w:r>
          </w:p>
        </w:tc>
        <w:tc>
          <w:tcPr>
            <w:tcW w:type="dxa" w:w="2556"/>
          </w:tcPr>
          <w:p>
            <w:r>
              <w:t>REST API, middleware</w:t>
            </w:r>
          </w:p>
        </w:tc>
        <w:tc>
          <w:tcPr>
            <w:tcW w:type="dxa" w:w="2556"/>
          </w:tcPr>
          <w:p>
            <w:r>
              <w:t>Must preserve contract and security controls.</w:t>
            </w:r>
          </w:p>
        </w:tc>
      </w:tr>
      <w:tr>
        <w:tc>
          <w:tcPr>
            <w:tcW w:type="dxa" w:w="2556"/>
          </w:tcPr>
          <w:p>
            <w:r>
              <w:t>Application/Domain</w:t>
            </w:r>
          </w:p>
        </w:tc>
        <w:tc>
          <w:tcPr>
            <w:tcW w:type="dxa" w:w="2556"/>
          </w:tcPr>
          <w:p>
            <w:r>
              <w:t>Use cases, business rules, state transitions, transactions</w:t>
            </w:r>
          </w:p>
        </w:tc>
        <w:tc>
          <w:tcPr>
            <w:tcW w:type="dxa" w:w="2556"/>
          </w:tcPr>
          <w:p>
            <w:r>
              <w:t>AppointmentService, PatientService</w:t>
            </w:r>
          </w:p>
        </w:tc>
        <w:tc>
          <w:tcPr>
            <w:tcW w:type="dxa" w:w="2556"/>
          </w:tcPr>
          <w:p>
            <w:r>
              <w:t>Domain logic must not depend directly on UI/provider SDKs.</w:t>
            </w:r>
          </w:p>
        </w:tc>
      </w:tr>
      <w:tr>
        <w:tc>
          <w:tcPr>
            <w:tcW w:type="dxa" w:w="2556"/>
          </w:tcPr>
          <w:p>
            <w:r>
              <w:t>Platform Services</w:t>
            </w:r>
          </w:p>
        </w:tc>
        <w:tc>
          <w:tcPr>
            <w:tcW w:type="dxa" w:w="2556"/>
          </w:tcPr>
          <w:p>
            <w:r>
              <w:t>Reusable cross-cutting capabilities</w:t>
            </w:r>
          </w:p>
        </w:tc>
        <w:tc>
          <w:tcPr>
            <w:tcW w:type="dxa" w:w="2556"/>
          </w:tcPr>
          <w:p>
            <w:r>
              <w:t>Identity, notifications, audit, documents, search, AI gateway</w:t>
            </w:r>
          </w:p>
        </w:tc>
        <w:tc>
          <w:tcPr>
            <w:tcW w:type="dxa" w:w="2556"/>
          </w:tcPr>
          <w:p>
            <w:r>
              <w:t>Reusable services must expose stable interfaces.</w:t>
            </w:r>
          </w:p>
        </w:tc>
      </w:tr>
      <w:tr>
        <w:tc>
          <w:tcPr>
            <w:tcW w:type="dxa" w:w="2556"/>
          </w:tcPr>
          <w:p>
            <w:r>
              <w:t>Data/Storage</w:t>
            </w:r>
          </w:p>
        </w:tc>
        <w:tc>
          <w:tcPr>
            <w:tcW w:type="dxa" w:w="2556"/>
          </w:tcPr>
          <w:p>
            <w:r>
              <w:t>Transactional and durable persistence</w:t>
            </w:r>
          </w:p>
        </w:tc>
        <w:tc>
          <w:tcPr>
            <w:tcW w:type="dxa" w:w="2556"/>
          </w:tcPr>
          <w:p>
            <w:r>
              <w:t>PostgreSQL, Redis, object storage</w:t>
            </w:r>
          </w:p>
        </w:tc>
        <w:tc>
          <w:tcPr>
            <w:tcW w:type="dxa" w:w="2556"/>
          </w:tcPr>
          <w:p>
            <w:r>
              <w:t>Repositories enforce tenant-aware access patterns.</w:t>
            </w:r>
          </w:p>
        </w:tc>
      </w:tr>
      <w:tr>
        <w:tc>
          <w:tcPr>
            <w:tcW w:type="dxa" w:w="2556"/>
          </w:tcPr>
          <w:p>
            <w:r>
              <w:t>External Integrations</w:t>
            </w:r>
          </w:p>
        </w:tc>
        <w:tc>
          <w:tcPr>
            <w:tcW w:type="dxa" w:w="2556"/>
          </w:tcPr>
          <w:p>
            <w:r>
              <w:t>Provider interaction</w:t>
            </w:r>
          </w:p>
        </w:tc>
        <w:tc>
          <w:tcPr>
            <w:tcW w:type="dxa" w:w="2556"/>
          </w:tcPr>
          <w:p>
            <w:r>
              <w:t>SMTP, Twilio, payment gateway, AI providers</w:t>
            </w:r>
          </w:p>
        </w:tc>
        <w:tc>
          <w:tcPr>
            <w:tcW w:type="dxa" w:w="2556"/>
          </w:tcPr>
          <w:p>
            <w:r>
              <w:t>Adapters isolate provider-specific behavior.</w:t>
            </w:r>
          </w:p>
        </w:tc>
      </w:tr>
    </w:tbl>
    <w:p>
      <w:pPr>
        <w:pStyle w:val="Heading1"/>
      </w:pPr>
      <w:r>
        <w:t>5. Frontend Technical Design</w:t>
      </w:r>
    </w:p>
    <w:p>
      <w:pPr>
        <w:pStyle w:val="ListBullet"/>
      </w:pPr>
      <w:r>
        <w:t>Flutter is the preferred mobile framework for patient/staff mobile experiences.</w:t>
      </w:r>
    </w:p>
    <w:p>
      <w:pPr>
        <w:pStyle w:val="ListBullet"/>
      </w:pPr>
      <w:r>
        <w:t>React + TypeScript is the preferred administrative web experience where web-specific workflows are required.</w:t>
      </w:r>
    </w:p>
    <w:p>
      <w:pPr>
        <w:pStyle w:val="ListBullet"/>
      </w:pPr>
      <w:r>
        <w:t>Client applications are presentation and interaction layers; server-side rules remain authoritative.</w:t>
      </w:r>
    </w:p>
    <w:p>
      <w:pPr>
        <w:pStyle w:val="ListBullet"/>
      </w:pPr>
      <w:r>
        <w:t>Use typed API clients/contracts where practical.</w:t>
      </w:r>
    </w:p>
    <w:p>
      <w:pPr>
        <w:pStyle w:val="ListBullet"/>
      </w:pPr>
      <w:r>
        <w:t>Keep feature/domain state separate from global infrastructure state.</w:t>
      </w:r>
    </w:p>
    <w:p>
      <w:pPr>
        <w:pStyle w:val="ListBullet"/>
      </w:pPr>
      <w:r>
        <w:t>Authentication/session state must be centralized and securely managed.</w:t>
      </w:r>
    </w:p>
    <w:p>
      <w:pPr>
        <w:pStyle w:val="ListBullet"/>
      </w:pPr>
      <w:r>
        <w:t>Loading, empty, validation, error and permission-denied states are explicit UI states.</w:t>
      </w:r>
    </w:p>
    <w:p>
      <w:pPr>
        <w:pStyle w:val="ListBullet"/>
      </w:pPr>
      <w:r>
        <w:t>Do not embed business rules that can diverge from server-side domain rules.</w:t>
      </w:r>
    </w:p>
    <w:p>
      <w:pPr>
        <w:pStyle w:val="ListBullet"/>
      </w:pPr>
      <w:r>
        <w:t>Offline behavior, if introduced for a feature, must have explicit consistency and synchronization rules.</w:t>
      </w:r>
    </w:p>
    <w:p>
      <w:pPr>
        <w:pStyle w:val="Heading1"/>
      </w:pPr>
      <w:r>
        <w:t>6. Backend Technical Design</w:t>
      </w:r>
    </w:p>
    <w:p>
      <w:pPr>
        <w:pStyle w:val="ListBullet"/>
      </w:pPr>
      <w:r>
        <w:t>FastAPI/Python is the preferred backend technology baseline.</w:t>
      </w:r>
    </w:p>
    <w:p>
      <w:pPr>
        <w:pStyle w:val="ListBullet"/>
      </w:pPr>
      <w:r>
        <w:t>Organize backend code by domain/application responsibility rather than by framework convenience alone.</w:t>
      </w:r>
    </w:p>
    <w:p>
      <w:pPr>
        <w:pStyle w:val="ListBullet"/>
      </w:pPr>
      <w:r>
        <w:t>Recommended dependency direction: API → Application → Domain → Infrastructure interfaces; infrastructure implementations sit behind abstractions where appropriate.</w:t>
      </w:r>
    </w:p>
    <w:p>
      <w:pPr>
        <w:pStyle w:val="ListBullet"/>
      </w:pPr>
      <w:r>
        <w:t>Use explicit service/use-case boundaries for material workflows.</w:t>
      </w:r>
    </w:p>
    <w:p>
      <w:pPr>
        <w:pStyle w:val="ListBullet"/>
      </w:pPr>
      <w:r>
        <w:t>Repositories and data-access components must enforce tenant context and authorization assumptions.</w:t>
      </w:r>
    </w:p>
    <w:p>
      <w:pPr>
        <w:pStyle w:val="ListBullet"/>
      </w:pPr>
      <w:r>
        <w:t>Provider SDKs belong in integration adapters, not domain entities.</w:t>
      </w:r>
    </w:p>
    <w:p>
      <w:pPr>
        <w:pStyle w:val="ListBullet"/>
      </w:pPr>
      <w:r>
        <w:t>Background workers execute asynchronous tasks and must be idempotent where retries are possible.</w:t>
      </w:r>
    </w:p>
    <w:p>
      <w:pPr>
        <w:pStyle w:val="ListBullet"/>
      </w:pPr>
      <w:r>
        <w:t>Cross-domain behavior must be explicit and traceable.</w:t>
      </w:r>
    </w:p>
    <w:p>
      <w:pPr>
        <w:pStyle w:val="Heading1"/>
      </w:pPr>
      <w:r>
        <w:t>7. Database &amp; Persistence Design</w:t>
      </w:r>
    </w:p>
    <w:p>
      <w:pPr>
        <w:pStyle w:val="ListBullet"/>
      </w:pPr>
      <w:r>
        <w:t>PostgreSQL is the transactional system of record.</w:t>
      </w:r>
    </w:p>
    <w:p>
      <w:pPr>
        <w:pStyle w:val="ListBullet"/>
      </w:pPr>
      <w:r>
        <w:t>Use UUID identifiers unless an approved domain-specific exception exists.</w:t>
      </w:r>
    </w:p>
    <w:p>
      <w:pPr>
        <w:pStyle w:val="ListBullet"/>
      </w:pPr>
      <w:r>
        <w:t>Use UTC timestamps for persisted event/time fields.</w:t>
      </w:r>
    </w:p>
    <w:p>
      <w:pPr>
        <w:pStyle w:val="ListBullet"/>
      </w:pPr>
      <w:r>
        <w:t>Schema changes are version-controlled migrations.</w:t>
      </w:r>
    </w:p>
    <w:p>
      <w:pPr>
        <w:pStyle w:val="ListBullet"/>
      </w:pPr>
      <w:r>
        <w:t>Foreign keys, constraints and indexes are part of the database contract.</w:t>
      </w:r>
    </w:p>
    <w:p>
      <w:pPr>
        <w:pStyle w:val="ListBullet"/>
      </w:pPr>
      <w:r>
        <w:t>Tenant-owned data must carry organization ownership directly or through an explicitly documented enforceable relationship.</w:t>
      </w:r>
    </w:p>
    <w:p>
      <w:pPr>
        <w:pStyle w:val="ListBullet"/>
      </w:pPr>
      <w:r>
        <w:t>Never use direct production-data edits as a substitute for a migration or approved data-fix procedure.</w:t>
      </w:r>
    </w:p>
    <w:p>
      <w:pPr>
        <w:pStyle w:val="ListBullet"/>
      </w:pPr>
      <w:r>
        <w:t>Redis may be used for caching, short-lived coordination and background-job support; it is not the system of record for transactional business state.</w:t>
      </w:r>
    </w:p>
    <w:p>
      <w:pPr>
        <w:pStyle w:val="ListBullet"/>
      </w:pPr>
      <w:r>
        <w:t>Object storage is used for durable files and media; metadata and access controls remain governed by application/database design.</w:t>
      </w:r>
    </w:p>
    <w:p>
      <w:pPr>
        <w:pStyle w:val="Heading1"/>
      </w:pPr>
      <w:r>
        <w:t>8. Tenant Isolation &amp; Request Context</w:t>
      </w:r>
    </w:p>
    <w:p>
      <w:r>
        <w:rPr>
          <w:b/>
        </w:rPr>
        <w:t>Tenant context is a mandatory architectural invariant.</w:t>
      </w:r>
    </w:p>
    <w:p>
      <w:pPr>
        <w:pStyle w:val="ListBullet"/>
      </w:pPr>
      <w:r>
        <w:t>Resolve authenticated user identity and organization/branch context before protected domain operations.</w:t>
      </w:r>
    </w:p>
    <w:p>
      <w:pPr>
        <w:pStyle w:val="ListBullet"/>
      </w:pPr>
      <w:r>
        <w:t>Propagate tenant context through application services, repositories, background jobs, caches, object-storage access and search.</w:t>
      </w:r>
    </w:p>
    <w:p>
      <w:pPr>
        <w:pStyle w:val="ListBullet"/>
      </w:pPr>
      <w:r>
        <w:t>Never trust organization_id supplied only by a client when it can be derived from authenticated context.</w:t>
      </w:r>
    </w:p>
    <w:p>
      <w:pPr>
        <w:pStyle w:val="ListBullet"/>
      </w:pPr>
      <w:r>
        <w:t>Background jobs must carry sufficient tenant context to prevent cross-tenant execution.</w:t>
      </w:r>
    </w:p>
    <w:p>
      <w:pPr>
        <w:pStyle w:val="ListBullet"/>
      </w:pPr>
      <w:r>
        <w:t>Cache keys must include appropriate tenant/user scope.</w:t>
      </w:r>
    </w:p>
    <w:p>
      <w:pPr>
        <w:pStyle w:val="ListBullet"/>
      </w:pPr>
      <w:r>
        <w:t>File/object paths and signed access mechanisms must prevent cross-tenant access.</w:t>
      </w:r>
    </w:p>
    <w:p>
      <w:pPr>
        <w:pStyle w:val="Heading1"/>
      </w:pPr>
      <w:r>
        <w:t>9. Appointment Transaction Architecture — Controlled Baseline</w:t>
      </w:r>
    </w:p>
    <w:p>
      <w:r>
        <w:t>The appointment workflow is a high-integrity transaction boundary. The following architecture is controlled for the current implementation and must not be weakened without an approved architecture change.</w:t>
      </w:r>
    </w:p>
    <w:p>
      <w:r>
        <w:rPr>
          <w:b/>
        </w:rPr>
        <w:t>Appointment Mutation → single DB transaction → Appointment + History + Audit + Notification Outbox</w:t>
      </w:r>
    </w:p>
    <w:p>
      <w:r>
        <w:rPr>
          <w:b/>
        </w:rPr>
        <w:t>Notification Outbox → Dispatcher → Provider Adapter → SMTP/Twilio/Other Provider</w:t>
      </w:r>
    </w:p>
    <w:p>
      <w:pPr>
        <w:pStyle w:val="ListBullet"/>
      </w:pPr>
      <w:r>
        <w:t>The appointment mutation commits only when the required appointment state change, history record, audit event and notification-outbox work item succeed according to the approved use case.</w:t>
      </w:r>
    </w:p>
    <w:p>
      <w:pPr>
        <w:pStyle w:val="ListBullet"/>
      </w:pPr>
      <w:r>
        <w:t>External SMTP/Twilio/provider calls are not made from the appointment mutation transaction.</w:t>
      </w:r>
    </w:p>
    <w:p>
      <w:pPr>
        <w:pStyle w:val="ListBullet"/>
      </w:pPr>
      <w:r>
        <w:t>The dispatcher reads eligible outbox work, performs provider interaction, records delivery state and applies retry/idempotency rules.</w:t>
      </w:r>
    </w:p>
    <w:p>
      <w:pPr>
        <w:pStyle w:val="ListBullet"/>
      </w:pPr>
      <w:r>
        <w:t>Provider failure must not roll back an already committed appointment transaction.</w:t>
      </w:r>
    </w:p>
    <w:p>
      <w:pPr>
        <w:pStyle w:val="ListBullet"/>
      </w:pPr>
      <w:r>
        <w:t>Outbox processing must tolerate worker restart and retry without unsafe duplicate business effects.</w:t>
      </w:r>
    </w:p>
    <w:p>
      <w:pPr>
        <w:pStyle w:val="ListBullet"/>
      </w:pPr>
      <w:r>
        <w:t>Any change to this architecture is a material technical change and requires TDA-GOV-CMP-001 plus relevant ADR/TDD/FRS/QA updates.</w:t>
      </w:r>
    </w:p>
    <w:p>
      <w:pPr>
        <w:pStyle w:val="Heading1"/>
      </w:pPr>
      <w:r>
        <w:t>10. Notification Dispatcher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Component</w:t>
            </w:r>
          </w:p>
        </w:tc>
        <w:tc>
          <w:tcPr>
            <w:tcW w:type="dxa" w:w="2556"/>
          </w:tcPr>
          <w:p>
            <w:r>
              <w:t>Responsibility</w:t>
            </w:r>
          </w:p>
        </w:tc>
        <w:tc>
          <w:tcPr>
            <w:tcW w:type="dxa" w:w="2556"/>
          </w:tcPr>
          <w:p>
            <w:r>
              <w:t>Failure Handling</w:t>
            </w:r>
          </w:p>
        </w:tc>
        <w:tc>
          <w:tcPr>
            <w:tcW w:type="dxa" w:w="2556"/>
          </w:tcPr>
          <w:p>
            <w:r>
              <w:t>Must Not</w:t>
            </w:r>
          </w:p>
        </w:tc>
      </w:tr>
      <w:tr>
        <w:tc>
          <w:tcPr>
            <w:tcW w:type="dxa" w:w="2556"/>
          </w:tcPr>
          <w:p>
            <w:r>
              <w:t>Notification Outbox</w:t>
            </w:r>
          </w:p>
        </w:tc>
        <w:tc>
          <w:tcPr>
            <w:tcW w:type="dxa" w:w="2556"/>
          </w:tcPr>
          <w:p>
            <w:r>
              <w:t>Durable work record created with originating transaction</w:t>
            </w:r>
          </w:p>
        </w:tc>
        <w:tc>
          <w:tcPr>
            <w:tcW w:type="dxa" w:w="2556"/>
          </w:tcPr>
          <w:p>
            <w:r>
              <w:t>Committed with domain transaction</w:t>
            </w:r>
          </w:p>
        </w:tc>
        <w:tc>
          <w:tcPr>
            <w:tcW w:type="dxa" w:w="2556"/>
          </w:tcPr>
          <w:p>
            <w:r>
              <w:t>Call external provider.</w:t>
            </w:r>
          </w:p>
        </w:tc>
      </w:tr>
      <w:tr>
        <w:tc>
          <w:tcPr>
            <w:tcW w:type="dxa" w:w="2556"/>
          </w:tcPr>
          <w:p>
            <w:r>
              <w:t>Dispatcher</w:t>
            </w:r>
          </w:p>
        </w:tc>
        <w:tc>
          <w:tcPr>
            <w:tcW w:type="dxa" w:w="2556"/>
          </w:tcPr>
          <w:p>
            <w:r>
              <w:t>Claims/processes eligible work</w:t>
            </w:r>
          </w:p>
        </w:tc>
        <w:tc>
          <w:tcPr>
            <w:tcW w:type="dxa" w:w="2556"/>
          </w:tcPr>
          <w:p>
            <w:r>
              <w:t>Retry, backoff and terminal failure policy</w:t>
            </w:r>
          </w:p>
        </w:tc>
        <w:tc>
          <w:tcPr>
            <w:tcW w:type="dxa" w:w="2556"/>
          </w:tcPr>
          <w:p>
            <w:r>
              <w:t>Mutate appointment business state directly.</w:t>
            </w:r>
          </w:p>
        </w:tc>
      </w:tr>
      <w:tr>
        <w:tc>
          <w:tcPr>
            <w:tcW w:type="dxa" w:w="2556"/>
          </w:tcPr>
          <w:p>
            <w:r>
              <w:t>Provider Adapter</w:t>
            </w:r>
          </w:p>
        </w:tc>
        <w:tc>
          <w:tcPr>
            <w:tcW w:type="dxa" w:w="2556"/>
          </w:tcPr>
          <w:p>
            <w:r>
              <w:t>Encapsulates SMTP/Twilio/provider APIs</w:t>
            </w:r>
          </w:p>
        </w:tc>
        <w:tc>
          <w:tcPr>
            <w:tcW w:type="dxa" w:w="2556"/>
          </w:tcPr>
          <w:p>
            <w:r>
              <w:t>Provider-specific errors normalized</w:t>
            </w:r>
          </w:p>
        </w:tc>
        <w:tc>
          <w:tcPr>
            <w:tcW w:type="dxa" w:w="2556"/>
          </w:tcPr>
          <w:p>
            <w:r>
              <w:t>Leak provider SDK concerns into domain layer.</w:t>
            </w:r>
          </w:p>
        </w:tc>
      </w:tr>
      <w:tr>
        <w:tc>
          <w:tcPr>
            <w:tcW w:type="dxa" w:w="2556"/>
          </w:tcPr>
          <w:p>
            <w:r>
              <w:t>Delivery State</w:t>
            </w:r>
          </w:p>
        </w:tc>
        <w:tc>
          <w:tcPr>
            <w:tcW w:type="dxa" w:w="2556"/>
          </w:tcPr>
          <w:p>
            <w:r>
              <w:t>Tracks processing/delivery outcome</w:t>
            </w:r>
          </w:p>
        </w:tc>
        <w:tc>
          <w:tcPr>
            <w:tcW w:type="dxa" w:w="2556"/>
          </w:tcPr>
          <w:p>
            <w:r>
              <w:t>Idempotent state transitions</w:t>
            </w:r>
          </w:p>
        </w:tc>
        <w:tc>
          <w:tcPr>
            <w:tcW w:type="dxa" w:w="2556"/>
          </w:tcPr>
          <w:p>
            <w:r>
              <w:t>Pretend delivery succeeded without evidence.</w:t>
            </w:r>
          </w:p>
        </w:tc>
      </w:tr>
    </w:tbl>
    <w:p>
      <w:pPr>
        <w:pStyle w:val="Heading1"/>
      </w:pPr>
      <w:r>
        <w:t>11. API Technical Conventions</w:t>
      </w:r>
    </w:p>
    <w:p>
      <w:pPr>
        <w:pStyle w:val="ListBullet"/>
      </w:pPr>
      <w:r>
        <w:t>REST APIs are versioned and documented in Volume 06.</w:t>
      </w:r>
    </w:p>
    <w:p>
      <w:pPr>
        <w:pStyle w:val="ListBullet"/>
      </w:pPr>
      <w:r>
        <w:t>Request validation occurs server-side.</w:t>
      </w:r>
    </w:p>
    <w:p>
      <w:pPr>
        <w:pStyle w:val="ListBullet"/>
      </w:pPr>
      <w:r>
        <w:t>Responses use consistent success/error envelopes as defined by the API specification.</w:t>
      </w:r>
    </w:p>
    <w:p>
      <w:pPr>
        <w:pStyle w:val="ListBullet"/>
      </w:pPr>
      <w:r>
        <w:t>Authorization is enforced server-side for every protected operation.</w:t>
      </w:r>
    </w:p>
    <w:p>
      <w:pPr>
        <w:pStyle w:val="ListBullet"/>
      </w:pPr>
      <w:r>
        <w:t>Breaking changes require explicit approval and migration/versioning strategy.</w:t>
      </w:r>
    </w:p>
    <w:p>
      <w:pPr>
        <w:pStyle w:val="ListBullet"/>
      </w:pPr>
      <w:r>
        <w:t>Idempotency keys are required for operations where retries could create duplicate business effects.</w:t>
      </w:r>
    </w:p>
    <w:p>
      <w:pPr>
        <w:pStyle w:val="ListBullet"/>
      </w:pPr>
      <w:r>
        <w:t>Pagination, filtering, sorting and search behavior must be explicit rather than inferred.</w:t>
      </w:r>
    </w:p>
    <w:p>
      <w:pPr>
        <w:pStyle w:val="ListBullet"/>
      </w:pPr>
      <w:r>
        <w:t>Correlation/request IDs should be propagated through logs and asynchronous processing.</w:t>
      </w:r>
    </w:p>
    <w:p>
      <w:pPr>
        <w:pStyle w:val="Heading1"/>
      </w:pPr>
      <w:r>
        <w:t>12. Authentication &amp; Authorization Architecture</w:t>
      </w:r>
    </w:p>
    <w:p>
      <w:pPr>
        <w:pStyle w:val="ListBullet"/>
      </w:pPr>
      <w:r>
        <w:t>Authentication establishes user identity; authorization determines permitted actions and resource scope.</w:t>
      </w:r>
    </w:p>
    <w:p>
      <w:pPr>
        <w:pStyle w:val="ListBullet"/>
      </w:pPr>
      <w:r>
        <w:t>RBAC is the baseline authorization mechanism, with organization/branch context.</w:t>
      </w:r>
    </w:p>
    <w:p>
      <w:pPr>
        <w:pStyle w:val="ListBullet"/>
      </w:pPr>
      <w:r>
        <w:t>MFA is supported for applicable users and elevated roles.</w:t>
      </w:r>
    </w:p>
    <w:p>
      <w:pPr>
        <w:pStyle w:val="ListBullet"/>
      </w:pPr>
      <w:r>
        <w:t>Session lifecycle and revocation are controlled server-side.</w:t>
      </w:r>
    </w:p>
    <w:p>
      <w:pPr>
        <w:pStyle w:val="ListBullet"/>
      </w:pPr>
      <w:r>
        <w:t>Authorization checks must be performed in application/domain entry points or equivalent server-side policy boundaries.</w:t>
      </w:r>
    </w:p>
    <w:p>
      <w:pPr>
        <w:pStyle w:val="ListBullet"/>
      </w:pPr>
      <w:r>
        <w:t>UI hiding is never considered sufficient authorization.</w:t>
      </w:r>
    </w:p>
    <w:p>
      <w:pPr>
        <w:pStyle w:val="ListBullet"/>
      </w:pPr>
      <w:r>
        <w:t>Security events and material identity events are auditable.</w:t>
      </w:r>
    </w:p>
    <w:p>
      <w:pPr>
        <w:pStyle w:val="Heading1"/>
      </w:pPr>
      <w:r>
        <w:t>13. Audit &amp; History Architecture</w:t>
      </w:r>
    </w:p>
    <w:p>
      <w:pPr>
        <w:pStyle w:val="ListBullet"/>
      </w:pPr>
      <w:r>
        <w:t>Business history records explain domain lifecycle changes where the domain requires history.</w:t>
      </w:r>
    </w:p>
    <w:p>
      <w:pPr>
        <w:pStyle w:val="ListBullet"/>
      </w:pPr>
      <w:r>
        <w:t>Audit events record security/business actions requiring accountability.</w:t>
      </w:r>
    </w:p>
    <w:p>
      <w:pPr>
        <w:pStyle w:val="ListBullet"/>
      </w:pPr>
      <w:r>
        <w:t>Security events record security-relevant conditions and incidents.</w:t>
      </w:r>
    </w:p>
    <w:p>
      <w:pPr>
        <w:pStyle w:val="ListBullet"/>
      </w:pPr>
      <w:r>
        <w:t>Audit/history must not be silently bypassed for material appointment mutations.</w:t>
      </w:r>
    </w:p>
    <w:p>
      <w:pPr>
        <w:pStyle w:val="ListBullet"/>
      </w:pPr>
      <w:r>
        <w:t>Sensitive data should not be unnecessarily duplicated into logs.</w:t>
      </w:r>
    </w:p>
    <w:p>
      <w:pPr>
        <w:pStyle w:val="ListBullet"/>
      </w:pPr>
      <w:r>
        <w:t>Audit event retention and access will be governed by Volume 07 and applicable operational policy.</w:t>
      </w:r>
    </w:p>
    <w:p>
      <w:pPr>
        <w:pStyle w:val="Heading1"/>
      </w:pPr>
      <w:r>
        <w:t>14. Background Jobs &amp; Asynchronous Processing</w:t>
      </w:r>
    </w:p>
    <w:p>
      <w:pPr>
        <w:pStyle w:val="ListBullet"/>
      </w:pPr>
      <w:r>
        <w:t>Use asynchronous workers for notifications, long-running reports, document/media processing, AI workloads and other non-critical-path tasks where appropriate.</w:t>
      </w:r>
    </w:p>
    <w:p>
      <w:pPr>
        <w:pStyle w:val="ListBullet"/>
      </w:pPr>
      <w:r>
        <w:t>Jobs must be durable enough to survive worker restart according to the selected queue/worker implementation.</w:t>
      </w:r>
    </w:p>
    <w:p>
      <w:pPr>
        <w:pStyle w:val="ListBullet"/>
      </w:pPr>
      <w:r>
        <w:t>Jobs must carry tenant context and correlation identifiers.</w:t>
      </w:r>
    </w:p>
    <w:p>
      <w:pPr>
        <w:pStyle w:val="ListBullet"/>
      </w:pPr>
      <w:r>
        <w:t>Retryable jobs require idempotent processing or deduplication.</w:t>
      </w:r>
    </w:p>
    <w:p>
      <w:pPr>
        <w:pStyle w:val="ListBullet"/>
      </w:pPr>
      <w:r>
        <w:t>Poison/failing jobs require observable terminal states and operational handling.</w:t>
      </w:r>
    </w:p>
    <w:p>
      <w:pPr>
        <w:pStyle w:val="ListBullet"/>
      </w:pPr>
      <w:r>
        <w:t>Business-critical state transitions must not depend on an external asynchronous worker unless explicitly designed that way.</w:t>
      </w:r>
    </w:p>
    <w:p>
      <w:pPr>
        <w:pStyle w:val="Heading1"/>
      </w:pPr>
      <w:r>
        <w:t>15. AI Gateway &amp; AI Feature Architecture</w:t>
      </w:r>
    </w:p>
    <w:p>
      <w:pPr>
        <w:pStyle w:val="ListBullet"/>
      </w:pPr>
      <w:r>
        <w:t>Product AI capabilities use a centralized AI gateway/abstraction rather than coupling domains directly to a model provider.</w:t>
      </w:r>
    </w:p>
    <w:p>
      <w:pPr>
        <w:pStyle w:val="ListBullet"/>
      </w:pPr>
      <w:r>
        <w:t>Model providers may be changed behind the gateway when contracts permit.</w:t>
      </w:r>
    </w:p>
    <w:p>
      <w:pPr>
        <w:pStyle w:val="ListBullet"/>
      </w:pPr>
      <w:r>
        <w:t>Prompts, model configuration and retrieval behavior are versioned/configurable as appropriate.</w:t>
      </w:r>
    </w:p>
    <w:p>
      <w:pPr>
        <w:pStyle w:val="ListBullet"/>
      </w:pPr>
      <w:r>
        <w:t>AI output must be identifiable and auditable where it influences patient or business workflows.</w:t>
      </w:r>
    </w:p>
    <w:p>
      <w:pPr>
        <w:pStyle w:val="ListBullet"/>
      </w:pPr>
      <w:r>
        <w:t>Clinical AI remains decision support and requires human review before becoming authoritative clinical record content.</w:t>
      </w:r>
    </w:p>
    <w:p>
      <w:pPr>
        <w:pStyle w:val="ListBullet"/>
      </w:pPr>
      <w:r>
        <w:t>AI workloads must apply tenant/privacy controls and must not expose patient data to an unapproved provider.</w:t>
      </w:r>
    </w:p>
    <w:p>
      <w:pPr>
        <w:pStyle w:val="ListBullet"/>
      </w:pPr>
      <w:r>
        <w:t>AI evaluation, safety and cost controls will be expanded in the dedicated AI architecture/security documentation.</w:t>
      </w:r>
    </w:p>
    <w:p>
      <w:pPr>
        <w:pStyle w:val="Heading1"/>
      </w:pPr>
      <w:r>
        <w:t>16. File, Imaging &amp; Document Architecture</w:t>
      </w:r>
    </w:p>
    <w:p>
      <w:pPr>
        <w:pStyle w:val="ListBullet"/>
      </w:pPr>
      <w:r>
        <w:t>Binary files/media are stored in object storage rather than PostgreSQL unless a specific exception is approved.</w:t>
      </w:r>
    </w:p>
    <w:p>
      <w:pPr>
        <w:pStyle w:val="ListBullet"/>
      </w:pPr>
      <w:r>
        <w:t>Database records hold metadata, ownership, classification, lifecycle and access-control references.</w:t>
      </w:r>
    </w:p>
    <w:p>
      <w:pPr>
        <w:pStyle w:val="ListBullet"/>
      </w:pPr>
      <w:r>
        <w:t>Access should use authenticated application paths or short-lived signed access mechanisms as approved.</w:t>
      </w:r>
    </w:p>
    <w:p>
      <w:pPr>
        <w:pStyle w:val="ListBullet"/>
      </w:pPr>
      <w:r>
        <w:t>Object names/paths must not expose unnecessary sensitive information.</w:t>
      </w:r>
    </w:p>
    <w:p>
      <w:pPr>
        <w:pStyle w:val="ListBullet"/>
      </w:pPr>
      <w:r>
        <w:t>Uploads require type/size validation and malware/security controls appropriate to the production environment.</w:t>
      </w:r>
    </w:p>
    <w:p>
      <w:pPr>
        <w:pStyle w:val="ListBullet"/>
      </w:pPr>
      <w:r>
        <w:t>Imaging/DICOM-specific behavior belongs in the relevant domain and integration specifications.</w:t>
      </w:r>
    </w:p>
    <w:p>
      <w:pPr>
        <w:pStyle w:val="Heading1"/>
      </w:pPr>
      <w:r>
        <w:t>17. Observability &amp; Operational Telemetry</w:t>
      </w:r>
    </w:p>
    <w:p>
      <w:pPr>
        <w:pStyle w:val="ListBullet"/>
      </w:pPr>
      <w:r>
        <w:t>Structured application logs are required for important workflows.</w:t>
      </w:r>
    </w:p>
    <w:p>
      <w:pPr>
        <w:pStyle w:val="ListBullet"/>
      </w:pPr>
      <w:r>
        <w:t>Correlation/request IDs should connect API requests, domain operations, jobs and provider interactions.</w:t>
      </w:r>
    </w:p>
    <w:p>
      <w:pPr>
        <w:pStyle w:val="ListBullet"/>
      </w:pPr>
      <w:r>
        <w:t>Metrics should cover latency, error rate, throughput, queue/outbox backlog, job failures and provider failures.</w:t>
      </w:r>
    </w:p>
    <w:p>
      <w:pPr>
        <w:pStyle w:val="ListBullet"/>
      </w:pPr>
      <w:r>
        <w:t>Health/readiness checks should distinguish process health from dependency readiness where practical.</w:t>
      </w:r>
    </w:p>
    <w:p>
      <w:pPr>
        <w:pStyle w:val="ListBullet"/>
      </w:pPr>
      <w:r>
        <w:t>Logs must avoid unnecessary patient/clinical/credential data.</w:t>
      </w:r>
    </w:p>
    <w:p>
      <w:pPr>
        <w:pStyle w:val="ListBullet"/>
      </w:pPr>
      <w:r>
        <w:t>Operational alerts should be actionable and tied to runbooks once Volume 09 is established.</w:t>
      </w:r>
    </w:p>
    <w:p>
      <w:pPr>
        <w:pStyle w:val="Heading1"/>
      </w:pPr>
      <w:r>
        <w:t>18. Error Handling &amp; Resilience</w:t>
      </w:r>
    </w:p>
    <w:p>
      <w:pPr>
        <w:pStyle w:val="ListBullet"/>
      </w:pPr>
      <w:r>
        <w:t>Use stable application error categories and API error semantics.</w:t>
      </w:r>
    </w:p>
    <w:p>
      <w:pPr>
        <w:pStyle w:val="ListBullet"/>
      </w:pPr>
      <w:r>
        <w:t>Do not expose stack traces, secrets or internal infrastructure details to clients.</w:t>
      </w:r>
    </w:p>
    <w:p>
      <w:pPr>
        <w:pStyle w:val="ListBullet"/>
      </w:pPr>
      <w:r>
        <w:t>Transient provider/dependency failures should be retried only where safe and bounded.</w:t>
      </w:r>
    </w:p>
    <w:p>
      <w:pPr>
        <w:pStyle w:val="ListBullet"/>
      </w:pPr>
      <w:r>
        <w:t>Business validation errors must be deterministic and testable.</w:t>
      </w:r>
    </w:p>
    <w:p>
      <w:pPr>
        <w:pStyle w:val="ListBullet"/>
      </w:pPr>
      <w:r>
        <w:t>Database transaction failures must leave business state consistent.</w:t>
      </w:r>
    </w:p>
    <w:p>
      <w:pPr>
        <w:pStyle w:val="ListBullet"/>
      </w:pPr>
      <w:r>
        <w:t>Retries must not duplicate irreversible business effects.</w:t>
      </w:r>
    </w:p>
    <w:p>
      <w:pPr>
        <w:pStyle w:val="Heading1"/>
      </w:pPr>
      <w:r>
        <w:t>19. Concurrency &amp; Idempotency</w:t>
      </w:r>
    </w:p>
    <w:p>
      <w:pPr>
        <w:pStyle w:val="ListBullet"/>
      </w:pPr>
      <w:r>
        <w:t>Appointment state transitions must protect against concurrent conflicting updates.</w:t>
      </w:r>
    </w:p>
    <w:p>
      <w:pPr>
        <w:pStyle w:val="ListBullet"/>
      </w:pPr>
      <w:r>
        <w:t>Operations that may be retried by clients or workers must define idempotency behavior.</w:t>
      </w:r>
    </w:p>
    <w:p>
      <w:pPr>
        <w:pStyle w:val="ListBullet"/>
      </w:pPr>
      <w:r>
        <w:t>Outbox processing must use safe claim/lease or equivalent concurrency control.</w:t>
      </w:r>
    </w:p>
    <w:p>
      <w:pPr>
        <w:pStyle w:val="ListBullet"/>
      </w:pPr>
      <w:r>
        <w:t>Database constraints are part of concurrency protection and should not be replaced solely by application checks.</w:t>
      </w:r>
    </w:p>
    <w:p>
      <w:pPr>
        <w:pStyle w:val="ListBullet"/>
      </w:pPr>
      <w:r>
        <w:t>Concurrency-sensitive behavior requires explicit automated tests.</w:t>
      </w:r>
    </w:p>
    <w:p>
      <w:pPr>
        <w:pStyle w:val="Heading1"/>
      </w:pPr>
      <w:r>
        <w:t>20. Security Technical Baseline</w:t>
      </w:r>
    </w:p>
    <w:p>
      <w:pPr>
        <w:pStyle w:val="ListBullet"/>
      </w:pPr>
      <w:r>
        <w:t>Never hard-code secrets.</w:t>
      </w:r>
    </w:p>
    <w:p>
      <w:pPr>
        <w:pStyle w:val="ListBullet"/>
      </w:pPr>
      <w:r>
        <w:t>Use managed/environment-based configuration and secret storage.</w:t>
      </w:r>
    </w:p>
    <w:p>
      <w:pPr>
        <w:pStyle w:val="ListBullet"/>
      </w:pPr>
      <w:r>
        <w:t>Encrypt sensitive data in transit and use appropriate at-rest protection.</w:t>
      </w:r>
    </w:p>
    <w:p>
      <w:pPr>
        <w:pStyle w:val="ListBullet"/>
      </w:pPr>
      <w:r>
        <w:t>Apply least privilege to users, services, databases and external integrations.</w:t>
      </w:r>
    </w:p>
    <w:p>
      <w:pPr>
        <w:pStyle w:val="ListBullet"/>
      </w:pPr>
      <w:r>
        <w:t>Validate untrusted input at boundaries.</w:t>
      </w:r>
    </w:p>
    <w:p>
      <w:pPr>
        <w:pStyle w:val="ListBullet"/>
      </w:pPr>
      <w:r>
        <w:t>Protect sensitive data in logs, error messages, analytics and AI prompts.</w:t>
      </w:r>
    </w:p>
    <w:p>
      <w:pPr>
        <w:pStyle w:val="ListBullet"/>
      </w:pPr>
      <w:r>
        <w:t>Security-sensitive architectural changes require elevated review.</w:t>
      </w:r>
    </w:p>
    <w:p>
      <w:pPr>
        <w:pStyle w:val="Heading1"/>
      </w:pPr>
      <w:r>
        <w:t>21. Deployment &amp; Environment Baseline</w:t>
      </w:r>
    </w:p>
    <w:p>
      <w:pPr>
        <w:pStyle w:val="ListBullet"/>
      </w:pPr>
      <w:r>
        <w:t>Separate development, test/staging and production environments.</w:t>
      </w:r>
    </w:p>
    <w:p>
      <w:pPr>
        <w:pStyle w:val="ListBullet"/>
      </w:pPr>
      <w:r>
        <w:t>Configuration must be environment-specific and externalized.</w:t>
      </w:r>
    </w:p>
    <w:p>
      <w:pPr>
        <w:pStyle w:val="ListBullet"/>
      </w:pPr>
      <w:r>
        <w:t>CI/CD should run build, unit/integration tests and appropriate security/quality gates.</w:t>
      </w:r>
    </w:p>
    <w:p>
      <w:pPr>
        <w:pStyle w:val="ListBullet"/>
      </w:pPr>
      <w:r>
        <w:t>Database migrations are deployed through controlled pipelines.</w:t>
      </w:r>
    </w:p>
    <w:p>
      <w:pPr>
        <w:pStyle w:val="ListBullet"/>
      </w:pPr>
      <w:r>
        <w:t>Production releases require rollback or forward-recovery planning.</w:t>
      </w:r>
    </w:p>
    <w:p>
      <w:pPr>
        <w:pStyle w:val="ListBullet"/>
      </w:pPr>
      <w:r>
        <w:t>Environment credentials and provider configuration must not be committed to source control.</w:t>
      </w:r>
    </w:p>
    <w:p>
      <w:pPr>
        <w:pStyle w:val="Heading1"/>
      </w:pPr>
      <w:r>
        <w:t>22. Reliability, Backup &amp; Recovery</w:t>
      </w:r>
    </w:p>
    <w:p>
      <w:pPr>
        <w:pStyle w:val="ListBullet"/>
      </w:pPr>
      <w:r>
        <w:t>Production database backups must be automated and monitored.</w:t>
      </w:r>
    </w:p>
    <w:p>
      <w:pPr>
        <w:pStyle w:val="ListBullet"/>
      </w:pPr>
      <w:r>
        <w:t>Recovery procedures must be tested periodically.</w:t>
      </w:r>
    </w:p>
    <w:p>
      <w:pPr>
        <w:pStyle w:val="ListBullet"/>
      </w:pPr>
      <w:r>
        <w:t>Define RPO/RTO before production launch.</w:t>
      </w:r>
    </w:p>
    <w:p>
      <w:pPr>
        <w:pStyle w:val="ListBullet"/>
      </w:pPr>
      <w:r>
        <w:t>Object storage backup/retention must be addressed for clinically important files.</w:t>
      </w:r>
    </w:p>
    <w:p>
      <w:pPr>
        <w:pStyle w:val="ListBullet"/>
      </w:pPr>
      <w:r>
        <w:t>Critical provider outages must degrade gracefully where possible.</w:t>
      </w:r>
    </w:p>
    <w:p>
      <w:pPr>
        <w:pStyle w:val="ListBullet"/>
      </w:pPr>
      <w:r>
        <w:t>Operational recovery procedures belong in Volume 09 runbooks and disaster-recovery documentation.</w:t>
      </w:r>
    </w:p>
    <w:p>
      <w:pPr>
        <w:pStyle w:val="Heading1"/>
      </w:pPr>
      <w:r>
        <w:t>23. Technology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Preferred Baseline</w:t>
            </w:r>
          </w:p>
        </w:tc>
        <w:tc>
          <w:tcPr>
            <w:tcW w:type="dxa" w:w="3408"/>
          </w:tcPr>
          <w:p>
            <w:r>
              <w:t>Governance Note</w:t>
            </w:r>
          </w:p>
        </w:tc>
      </w:tr>
      <w:tr>
        <w:tc>
          <w:tcPr>
            <w:tcW w:type="dxa" w:w="3408"/>
          </w:tcPr>
          <w:p>
            <w:r>
              <w:t>Mobile</w:t>
            </w:r>
          </w:p>
        </w:tc>
        <w:tc>
          <w:tcPr>
            <w:tcW w:type="dxa" w:w="3408"/>
          </w:tcPr>
          <w:p>
            <w:r>
              <w:t>Flutter</w:t>
            </w:r>
          </w:p>
        </w:tc>
        <w:tc>
          <w:tcPr>
            <w:tcW w:type="dxa" w:w="3408"/>
          </w:tcPr>
          <w:p>
            <w:r>
              <w:t>Use approved project version/dependencies; changes require impact review.</w:t>
            </w:r>
          </w:p>
        </w:tc>
      </w:tr>
      <w:tr>
        <w:tc>
          <w:tcPr>
            <w:tcW w:type="dxa" w:w="3408"/>
          </w:tcPr>
          <w:p>
            <w:r>
              <w:t>Web Admin</w:t>
            </w:r>
          </w:p>
        </w:tc>
        <w:tc>
          <w:tcPr>
            <w:tcW w:type="dxa" w:w="3408"/>
          </w:tcPr>
          <w:p>
            <w:r>
              <w:t>React + TypeScript</w:t>
            </w:r>
          </w:p>
        </w:tc>
        <w:tc>
          <w:tcPr>
            <w:tcW w:type="dxa" w:w="3408"/>
          </w:tcPr>
          <w:p>
            <w:r>
              <w:t>Use where web administrative workflows require it.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FastAPI + Python</w:t>
            </w:r>
          </w:p>
        </w:tc>
        <w:tc>
          <w:tcPr>
            <w:tcW w:type="dxa" w:w="3408"/>
          </w:tcPr>
          <w:p>
            <w:r>
              <w:t>Domain/application architecture remains authoritative.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</w:t>
            </w:r>
          </w:p>
        </w:tc>
        <w:tc>
          <w:tcPr>
            <w:tcW w:type="dxa" w:w="3408"/>
          </w:tcPr>
          <w:p>
            <w:r>
              <w:t>Version must be captured in an ADR/controlled deployment baseline before production.</w:t>
            </w:r>
          </w:p>
        </w:tc>
      </w:tr>
      <w:tr>
        <w:tc>
          <w:tcPr>
            <w:tcW w:type="dxa" w:w="3408"/>
          </w:tcPr>
          <w:p>
            <w:r>
              <w:t>Cache/Coordination</w:t>
            </w:r>
          </w:p>
        </w:tc>
        <w:tc>
          <w:tcPr>
            <w:tcW w:type="dxa" w:w="3408"/>
          </w:tcPr>
          <w:p>
            <w:r>
              <w:t>Redis</w:t>
            </w:r>
          </w:p>
        </w:tc>
        <w:tc>
          <w:tcPr>
            <w:tcW w:type="dxa" w:w="3408"/>
          </w:tcPr>
          <w:p>
            <w:r>
              <w:t>Not system of record.</w:t>
            </w:r>
          </w:p>
        </w:tc>
      </w:tr>
      <w:tr>
        <w:tc>
          <w:tcPr>
            <w:tcW w:type="dxa" w:w="3408"/>
          </w:tcPr>
          <w:p>
            <w:r>
              <w:t>Files</w:t>
            </w:r>
          </w:p>
        </w:tc>
        <w:tc>
          <w:tcPr>
            <w:tcW w:type="dxa" w:w="3408"/>
          </w:tcPr>
          <w:p>
            <w:r>
              <w:t>Cloud object storage</w:t>
            </w:r>
          </w:p>
        </w:tc>
        <w:tc>
          <w:tcPr>
            <w:tcW w:type="dxa" w:w="3408"/>
          </w:tcPr>
          <w:p>
            <w:r>
              <w:t>Access controlled and tenant-aware.</w:t>
            </w:r>
          </w:p>
        </w:tc>
      </w:tr>
      <w:tr>
        <w:tc>
          <w:tcPr>
            <w:tcW w:type="dxa" w:w="3408"/>
          </w:tcPr>
          <w:p>
            <w:r>
              <w:t>Workers</w:t>
            </w:r>
          </w:p>
        </w:tc>
        <w:tc>
          <w:tcPr>
            <w:tcW w:type="dxa" w:w="3408"/>
          </w:tcPr>
          <w:p>
            <w:r>
              <w:t>Celery or approved equivalent</w:t>
            </w:r>
          </w:p>
        </w:tc>
        <w:tc>
          <w:tcPr>
            <w:tcW w:type="dxa" w:w="3408"/>
          </w:tcPr>
          <w:p>
            <w:r>
              <w:t>Final worker/queue selection requires an ADR if not already baselined.</w:t>
            </w:r>
          </w:p>
        </w:tc>
      </w:tr>
      <w:tr>
        <w:tc>
          <w:tcPr>
            <w:tcW w:type="dxa" w:w="3408"/>
          </w:tcPr>
          <w:p>
            <w:r>
              <w:t>External providers</w:t>
            </w:r>
          </w:p>
        </w:tc>
        <w:tc>
          <w:tcPr>
            <w:tcW w:type="dxa" w:w="3408"/>
          </w:tcPr>
          <w:p>
            <w:r>
              <w:t>Provider adapters</w:t>
            </w:r>
          </w:p>
        </w:tc>
        <w:tc>
          <w:tcPr>
            <w:tcW w:type="dxa" w:w="3408"/>
          </w:tcPr>
          <w:p>
            <w:r>
              <w:t>No provider SDK in domain layer.</w:t>
            </w:r>
          </w:p>
        </w:tc>
      </w:tr>
    </w:tbl>
    <w:p>
      <w:pPr>
        <w:pStyle w:val="Heading1"/>
      </w:pPr>
      <w:r>
        <w:t>24. Architecture Decision Records Required / Recommended</w:t>
      </w:r>
    </w:p>
    <w:p>
      <w:pPr>
        <w:pStyle w:val="ListBullet"/>
      </w:pPr>
      <w:r>
        <w:t>ADR-001 — Modular architecture vs microservices boundary.</w:t>
      </w:r>
    </w:p>
    <w:p>
      <w:pPr>
        <w:pStyle w:val="ListBullet"/>
      </w:pPr>
      <w:r>
        <w:t>ADR-002 — PostgreSQL version and deployment topology.</w:t>
      </w:r>
    </w:p>
    <w:p>
      <w:pPr>
        <w:pStyle w:val="ListBullet"/>
      </w:pPr>
      <w:r>
        <w:t>ADR-003 — Appointment transactional outbox architecture.</w:t>
      </w:r>
    </w:p>
    <w:p>
      <w:pPr>
        <w:pStyle w:val="ListBullet"/>
      </w:pPr>
      <w:r>
        <w:t>ADR-004 — Notification dispatcher/provider abstraction.</w:t>
      </w:r>
    </w:p>
    <w:p>
      <w:pPr>
        <w:pStyle w:val="ListBullet"/>
      </w:pPr>
      <w:r>
        <w:t>ADR-005 — Authentication/session/MFA architecture.</w:t>
      </w:r>
    </w:p>
    <w:p>
      <w:pPr>
        <w:pStyle w:val="ListBullet"/>
      </w:pPr>
      <w:r>
        <w:t>ADR-006 — Background worker/queue technology and delivery semantics.</w:t>
      </w:r>
    </w:p>
    <w:p>
      <w:pPr>
        <w:pStyle w:val="ListBullet"/>
      </w:pPr>
      <w:r>
        <w:t>ADR-007 — AI gateway/model-provider abstraction.</w:t>
      </w:r>
    </w:p>
    <w:p>
      <w:pPr>
        <w:pStyle w:val="ListBullet"/>
      </w:pPr>
      <w:r>
        <w:t>ADR-008 — Object storage and signed-access strategy.</w:t>
      </w:r>
    </w:p>
    <w:p>
      <w:r>
        <w:t>ADRs are created individually only when the decision is material. They are not required to be written as one large document.</w:t>
      </w:r>
    </w:p>
    <w:p>
      <w:pPr>
        <w:pStyle w:val="Heading1"/>
      </w:pPr>
      <w:r>
        <w:t>25. Testing Implications</w:t>
      </w:r>
    </w:p>
    <w:p>
      <w:pPr>
        <w:pStyle w:val="ListBullet"/>
      </w:pPr>
      <w:r>
        <w:t>Unit tests validate domain rules and state transitions.</w:t>
      </w:r>
    </w:p>
    <w:p>
      <w:pPr>
        <w:pStyle w:val="ListBullet"/>
      </w:pPr>
      <w:r>
        <w:t>Integration tests validate database transactions, migrations, repositories and outbox behavior.</w:t>
      </w:r>
    </w:p>
    <w:p>
      <w:pPr>
        <w:pStyle w:val="ListBullet"/>
      </w:pPr>
      <w:r>
        <w:t>API tests validate contracts, authorization, validation and idempotency.</w:t>
      </w:r>
    </w:p>
    <w:p>
      <w:pPr>
        <w:pStyle w:val="ListBullet"/>
      </w:pPr>
      <w:r>
        <w:t>Notification tests validate transactional outbox creation, dispatcher processing, retries and provider failures.</w:t>
      </w:r>
    </w:p>
    <w:p>
      <w:pPr>
        <w:pStyle w:val="ListBullet"/>
      </w:pPr>
      <w:r>
        <w:t>Security tests validate tenant isolation and negative authorization paths.</w:t>
      </w:r>
    </w:p>
    <w:p>
      <w:pPr>
        <w:pStyle w:val="ListBullet"/>
      </w:pPr>
      <w:r>
        <w:t>Concurrency tests validate conflicting appointment operations and duplicate worker processing where applicable.</w:t>
      </w:r>
    </w:p>
    <w:p>
      <w:pPr>
        <w:pStyle w:val="ListBullet"/>
      </w:pPr>
      <w:r>
        <w:t>End-to-end tests validate critical patient/receptionist/dentist workflows.</w:t>
      </w:r>
    </w:p>
    <w:p>
      <w:pPr>
        <w:pStyle w:val="Heading1"/>
      </w:pPr>
      <w:r>
        <w:t>26. Cursor Implementation Rules</w:t>
      </w:r>
    </w:p>
    <w:p>
      <w:pPr>
        <w:pStyle w:val="ListBullet"/>
      </w:pPr>
      <w:r>
        <w:t>Cursor must load the smallest authoritative context needed for the task.</w:t>
      </w:r>
    </w:p>
    <w:p>
      <w:pPr>
        <w:pStyle w:val="ListBullet"/>
      </w:pPr>
      <w:r>
        <w:t>For material backend changes, relevant FRS + domain specification + TDD + DDD/API + tests are the preferred context chain.</w:t>
      </w:r>
    </w:p>
    <w:p>
      <w:pPr>
        <w:pStyle w:val="ListBullet"/>
      </w:pPr>
      <w:r>
        <w:t>Cursor must not introduce a framework/library solely for convenience without approved technical rationale.</w:t>
      </w:r>
    </w:p>
    <w:p>
      <w:pPr>
        <w:pStyle w:val="ListBullet"/>
      </w:pPr>
      <w:r>
        <w:t>Cursor must preserve dependency direction and transaction boundaries.</w:t>
      </w:r>
    </w:p>
    <w:p>
      <w:pPr>
        <w:pStyle w:val="ListBullet"/>
      </w:pPr>
      <w:r>
        <w:t>Cursor must not bypass the appointment outbox architecture.</w:t>
      </w:r>
    </w:p>
    <w:p>
      <w:pPr>
        <w:pStyle w:val="ListBullet"/>
      </w:pPr>
      <w:r>
        <w:t>Cursor must stop on unresolved architecture or requirement conflicts.</w:t>
      </w:r>
    </w:p>
    <w:p>
      <w:pPr>
        <w:pStyle w:val="ListBullet"/>
      </w:pPr>
      <w:r>
        <w:t>Cursor must report files changed, tests run, assumptions, risks, and documentation updates.</w:t>
      </w:r>
    </w:p>
    <w:p>
      <w:pPr>
        <w:pStyle w:val="Heading1"/>
      </w:pPr>
      <w:r>
        <w:t>27. Technical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Requirement</w:t>
            </w:r>
          </w:p>
        </w:tc>
        <w:tc>
          <w:tcPr>
            <w:tcW w:type="dxa" w:w="2045"/>
          </w:tcPr>
          <w:p>
            <w:r>
              <w:t>Technical Design</w:t>
            </w:r>
          </w:p>
        </w:tc>
        <w:tc>
          <w:tcPr>
            <w:tcW w:type="dxa" w:w="2045"/>
          </w:tcPr>
          <w:p>
            <w:r>
              <w:t>Database/API</w:t>
            </w:r>
          </w:p>
        </w:tc>
        <w:tc>
          <w:tcPr>
            <w:tcW w:type="dxa" w:w="2045"/>
          </w:tcPr>
          <w:p>
            <w:r>
              <w:t>Implementation</w:t>
            </w:r>
          </w:p>
        </w:tc>
        <w:tc>
          <w:tcPr>
            <w:tcW w:type="dxa" w:w="2045"/>
          </w:tcPr>
          <w:p>
            <w:r>
              <w:t>Status</w:t>
            </w:r>
          </w:p>
        </w:tc>
      </w:tr>
      <w:tr>
        <w:tc>
          <w:tcPr>
            <w:tcW w:type="dxa" w:w="2045"/>
          </w:tcPr>
          <w:p>
            <w:r>
              <w:t>IAM-FR-*</w:t>
            </w:r>
          </w:p>
        </w:tc>
        <w:tc>
          <w:tcPr>
            <w:tcW w:type="dxa" w:w="2045"/>
          </w:tcPr>
          <w:p>
            <w:r>
              <w:t>Identity/Auth architecture</w:t>
            </w:r>
          </w:p>
        </w:tc>
        <w:tc>
          <w:tcPr>
            <w:tcW w:type="dxa" w:w="2045"/>
          </w:tcPr>
          <w:p>
            <w:r>
              <w:t>DDD Domain 1 + Auth API</w:t>
            </w:r>
          </w:p>
        </w:tc>
        <w:tc>
          <w:tcPr>
            <w:tcW w:type="dxa" w:w="2045"/>
          </w:tcPr>
          <w:p>
            <w:r>
              <w:t>Existing/ongoing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</w:tr>
      <w:tr>
        <w:tc>
          <w:tcPr>
            <w:tcW w:type="dxa" w:w="2045"/>
          </w:tcPr>
          <w:p>
            <w:r>
              <w:t>APT-FR-001</w:t>
            </w:r>
          </w:p>
        </w:tc>
        <w:tc>
          <w:tcPr>
            <w:tcW w:type="dxa" w:w="2045"/>
          </w:tcPr>
          <w:p>
            <w:r>
              <w:t>Appointment state machine + transaction</w:t>
            </w:r>
          </w:p>
        </w:tc>
        <w:tc>
          <w:tcPr>
            <w:tcW w:type="dxa" w:w="2045"/>
          </w:tcPr>
          <w:p>
            <w:r>
              <w:t>Appointment DDD/API</w:t>
            </w:r>
          </w:p>
        </w:tc>
        <w:tc>
          <w:tcPr>
            <w:tcW w:type="dxa" w:w="2045"/>
          </w:tcPr>
          <w:p>
            <w:r>
              <w:t>Implemented workflow; formal domain docs pending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</w:tr>
      <w:tr>
        <w:tc>
          <w:tcPr>
            <w:tcW w:type="dxa" w:w="2045"/>
          </w:tcPr>
          <w:p>
            <w:r>
              <w:t>APT-FR-003</w:t>
            </w:r>
          </w:p>
        </w:tc>
        <w:tc>
          <w:tcPr>
            <w:tcW w:type="dxa" w:w="2045"/>
          </w:tcPr>
          <w:p>
            <w:r>
              <w:t>History + audit transaction boundary</w:t>
            </w:r>
          </w:p>
        </w:tc>
        <w:tc>
          <w:tcPr>
            <w:tcW w:type="dxa" w:w="2045"/>
          </w:tcPr>
          <w:p>
            <w:r>
              <w:t>Appointment/Audit DDD</w:t>
            </w:r>
          </w:p>
        </w:tc>
        <w:tc>
          <w:tcPr>
            <w:tcW w:type="dxa" w:w="2045"/>
          </w:tcPr>
          <w:p>
            <w:r>
              <w:t>Implemented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</w:tr>
      <w:tr>
        <w:tc>
          <w:tcPr>
            <w:tcW w:type="dxa" w:w="2045"/>
          </w:tcPr>
          <w:p>
            <w:r>
              <w:t>APT-FR-004</w:t>
            </w:r>
          </w:p>
        </w:tc>
        <w:tc>
          <w:tcPr>
            <w:tcW w:type="dxa" w:w="2045"/>
          </w:tcPr>
          <w:p>
            <w:r>
              <w:t>Outbox + dispatcher</w:t>
            </w:r>
          </w:p>
        </w:tc>
        <w:tc>
          <w:tcPr>
            <w:tcW w:type="dxa" w:w="2045"/>
          </w:tcPr>
          <w:p>
            <w:r>
              <w:t>Notification DDD/API</w:t>
            </w:r>
          </w:p>
        </w:tc>
        <w:tc>
          <w:tcPr>
            <w:tcW w:type="dxa" w:w="2045"/>
          </w:tcPr>
          <w:p>
            <w:r>
              <w:t>Implemented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</w:tr>
      <w:tr>
        <w:tc>
          <w:tcPr>
            <w:tcW w:type="dxa" w:w="2045"/>
          </w:tcPr>
          <w:p>
            <w:r>
              <w:t>NOTIF-FR-*</w:t>
            </w:r>
          </w:p>
        </w:tc>
        <w:tc>
          <w:tcPr>
            <w:tcW w:type="dxa" w:w="2045"/>
          </w:tcPr>
          <w:p>
            <w:r>
              <w:t>Notification architecture</w:t>
            </w:r>
          </w:p>
        </w:tc>
        <w:tc>
          <w:tcPr>
            <w:tcW w:type="dxa" w:w="2045"/>
          </w:tcPr>
          <w:p>
            <w:r>
              <w:t>Notification DDD/API</w:t>
            </w:r>
          </w:p>
        </w:tc>
        <w:tc>
          <w:tcPr>
            <w:tcW w:type="dxa" w:w="2045"/>
          </w:tcPr>
          <w:p>
            <w:r>
              <w:t>Dispatcher/provider infrastructure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</w:tr>
      <w:tr>
        <w:tc>
          <w:tcPr>
            <w:tcW w:type="dxa" w:w="2045"/>
          </w:tcPr>
          <w:p>
            <w:r>
              <w:t>SEC-FR-*</w:t>
            </w:r>
          </w:p>
        </w:tc>
        <w:tc>
          <w:tcPr>
            <w:tcW w:type="dxa" w:w="2045"/>
          </w:tcPr>
          <w:p>
            <w:r>
              <w:t>Security baseline</w:t>
            </w:r>
          </w:p>
        </w:tc>
        <w:tc>
          <w:tcPr>
            <w:tcW w:type="dxa" w:w="2045"/>
          </w:tcPr>
          <w:p>
            <w:r>
              <w:t>Security Volume 07/API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  <w:tc>
          <w:tcPr>
            <w:tcW w:type="dxa" w:w="2045"/>
          </w:tcPr>
          <w:p>
            <w:r>
              <w:t>PARTIAL</w:t>
            </w:r>
          </w:p>
        </w:tc>
      </w:tr>
    </w:tbl>
    <w:p>
      <w:pPr>
        <w:pStyle w:val="Heading1"/>
      </w:pPr>
      <w:r>
        <w:t>28. Known Gaps &amp; Controlled Next Steps</w:t>
      </w:r>
    </w:p>
    <w:p>
      <w:pPr>
        <w:pStyle w:val="ListNumber"/>
      </w:pPr>
      <w:r>
        <w:t>Complete Appointment Domain Specification (Volume 05).</w:t>
      </w:r>
    </w:p>
    <w:p>
      <w:pPr>
        <w:pStyle w:val="ListNumber"/>
      </w:pPr>
      <w:r>
        <w:t>Complete Notification Domain Specification (Volume 05).</w:t>
      </w:r>
    </w:p>
    <w:p>
      <w:pPr>
        <w:pStyle w:val="ListNumber"/>
      </w:pPr>
      <w:r>
        <w:t>Reconcile DDD Domain 1 against this TDD and IAM requirements.</w:t>
      </w:r>
    </w:p>
    <w:p>
      <w:pPr>
        <w:pStyle w:val="ListNumber"/>
      </w:pPr>
      <w:r>
        <w:t>Create Volume 06 API Specification.</w:t>
      </w:r>
    </w:p>
    <w:p>
      <w:pPr>
        <w:pStyle w:val="ListNumber"/>
      </w:pPr>
      <w:r>
        <w:t>Create Volume 07 Security &amp; Privacy.</w:t>
      </w:r>
    </w:p>
    <w:p>
      <w:pPr>
        <w:pStyle w:val="ListNumber"/>
      </w:pPr>
      <w:r>
        <w:t>Create Volume 08 Testing &amp; QA.</w:t>
      </w:r>
    </w:p>
    <w:p>
      <w:pPr>
        <w:pStyle w:val="ListNumber"/>
      </w:pPr>
      <w:r>
        <w:t>Create Volume 09 Deployment &amp; DevOps.</w:t>
      </w:r>
    </w:p>
    <w:p>
      <w:pPr>
        <w:pStyle w:val="ListNumber"/>
      </w:pPr>
      <w:r>
        <w:t>Create material ADRs from the recommended list as decisions are confirmed.</w:t>
      </w:r>
    </w:p>
    <w:p>
      <w:pPr>
        <w:pStyle w:val="Heading1"/>
      </w:pPr>
      <w:r>
        <w:t>29. Approval &amp; Baseline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Value</w:t>
            </w:r>
          </w:p>
        </w:tc>
        <w:tc>
          <w:tcPr>
            <w:tcW w:type="dxa" w:w="3408"/>
          </w:tcPr>
          <w:p>
            <w:r>
              <w:t>Notes</w:t>
            </w:r>
          </w:p>
        </w:tc>
      </w:tr>
      <w:tr>
        <w:tc>
          <w:tcPr>
            <w:tcW w:type="dxa" w:w="3408"/>
          </w:tcPr>
          <w:p>
            <w:r>
              <w:t>Status</w:t>
            </w:r>
          </w:p>
        </w:tc>
        <w:tc>
          <w:tcPr>
            <w:tcW w:type="dxa" w:w="3408"/>
          </w:tcPr>
          <w:p>
            <w:r>
              <w:t>REVIEW</w:t>
            </w:r>
          </w:p>
        </w:tc>
        <w:tc>
          <w:tcPr>
            <w:tcW w:type="dxa" w:w="3408"/>
          </w:tcPr>
          <w:p>
            <w:r>
              <w:t>Not yet APPROVED/BASELINED.</w:t>
            </w:r>
          </w:p>
        </w:tc>
      </w:tr>
      <w:tr>
        <w:tc>
          <w:tcPr>
            <w:tcW w:type="dxa" w:w="3408"/>
          </w:tcPr>
          <w:p>
            <w:r>
              <w:t>Supersedes</w:t>
            </w:r>
          </w:p>
        </w:tc>
        <w:tc>
          <w:tcPr>
            <w:tcW w:type="dxa" w:w="3408"/>
          </w:tcPr>
          <w:p>
            <w:r>
              <w:t>TDD v1.0</w:t>
            </w:r>
          </w:p>
        </w:tc>
        <w:tc>
          <w:tcPr>
            <w:tcW w:type="dxa" w:w="3408"/>
          </w:tcPr>
          <w:p>
            <w:r>
              <w:t>Architecture retained and expanded.</w:t>
            </w:r>
          </w:p>
        </w:tc>
      </w:tr>
      <w:tr>
        <w:tc>
          <w:tcPr>
            <w:tcW w:type="dxa" w:w="3408"/>
          </w:tcPr>
          <w:p>
            <w:r>
              <w:t>Business/functional inputs</w:t>
            </w:r>
          </w:p>
        </w:tc>
        <w:tc>
          <w:tcPr>
            <w:tcW w:type="dxa" w:w="3408"/>
          </w:tcPr>
          <w:p>
            <w:r>
              <w:t>BRD v1.1 / FRS v1.1</w:t>
            </w:r>
          </w:p>
        </w:tc>
        <w:tc>
          <w:tcPr>
            <w:tcW w:type="dxa" w:w="3408"/>
          </w:tcPr>
          <w:p>
            <w:r>
              <w:t>Both currently REVIEW.</w:t>
            </w:r>
          </w:p>
        </w:tc>
      </w:tr>
      <w:tr>
        <w:tc>
          <w:tcPr>
            <w:tcW w:type="dxa" w:w="3408"/>
          </w:tcPr>
          <w:p>
            <w:r>
              <w:t>Database dependency</w:t>
            </w:r>
          </w:p>
        </w:tc>
        <w:tc>
          <w:tcPr>
            <w:tcW w:type="dxa" w:w="3408"/>
          </w:tcPr>
          <w:p>
            <w:r>
              <w:t>Volume 04 DDD</w:t>
            </w:r>
          </w:p>
        </w:tc>
        <w:tc>
          <w:tcPr>
            <w:tcW w:type="dxa" w:w="3408"/>
          </w:tcPr>
          <w:p>
            <w:r>
              <w:t>Domain-by-domain.</w:t>
            </w:r>
          </w:p>
        </w:tc>
      </w:tr>
      <w:tr>
        <w:tc>
          <w:tcPr>
            <w:tcW w:type="dxa" w:w="3408"/>
          </w:tcPr>
          <w:p>
            <w:r>
              <w:t>Next primary dependency</w:t>
            </w:r>
          </w:p>
        </w:tc>
        <w:tc>
          <w:tcPr>
            <w:tcW w:type="dxa" w:w="3408"/>
          </w:tcPr>
          <w:p>
            <w:r>
              <w:t>Volume 05 Appointment Domain Specification</w:t>
            </w:r>
          </w:p>
        </w:tc>
        <w:tc>
          <w:tcPr>
            <w:tcW w:type="dxa" w:w="3408"/>
          </w:tcPr>
          <w:p>
            <w:r>
              <w:t>Required to formalize current appointment implementation.</w:t>
            </w:r>
          </w:p>
        </w:tc>
      </w:tr>
    </w:tbl>
    <w:p>
      <w:pPr>
        <w:pStyle w:val="Heading1"/>
      </w:pPr>
      <w:r>
        <w:t>30. Governance Statement</w:t>
      </w:r>
    </w:p>
    <w:p>
      <w:r>
        <w:rPr>
          <w:b/>
        </w:rPr>
        <w:t>This TDD defines technical structure and implementation constraints without attempting to reproduce every database column, endpoint, test case or source-code detail. Detailed contracts belong in DDD, API, Security, QA and Deployment documents. The Appointment/Notification transaction architecture in this TDD is a controlled technical baseline and may not be changed implicitly.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