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TDA-API-001 — API Architecture &amp; Standards</w:t>
      </w:r>
    </w:p>
    <w:p>
      <w:pPr>
        <w:jc w:val="center"/>
      </w:pPr>
      <w:r>
        <w:rPr>
          <w:b/>
          <w:i w:val="0"/>
          <w:sz w:val="22"/>
        </w:rPr>
        <w:t>Version 1.0 | Status: REVIEW | 14 August 2026</w:t>
      </w:r>
    </w:p>
    <w:p>
      <w:pPr>
        <w:jc w:val="center"/>
      </w:pPr>
      <w:r>
        <w:rPr>
          <w:b w:val="0"/>
          <w:i/>
          <w:sz w:val="19"/>
        </w:rPr>
        <w:t>Controlled API contract and implementation standards for the Dental Appointment Management System</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TDA-API-001</w:t>
            </w:r>
          </w:p>
        </w:tc>
      </w:tr>
      <w:tr>
        <w:tc>
          <w:tcPr>
            <w:tcW w:type="dxa" w:w="5184"/>
          </w:tcPr>
          <w:p>
            <w:r>
              <w:t>Volume</w:t>
            </w:r>
          </w:p>
        </w:tc>
        <w:tc>
          <w:tcPr>
            <w:tcW w:type="dxa" w:w="5184"/>
          </w:tcPr>
          <w:p>
            <w:r>
              <w:t>06 — API Specification</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Primary Responsibility</w:t>
            </w:r>
          </w:p>
        </w:tc>
        <w:tc>
          <w:tcPr>
            <w:tcW w:type="dxa" w:w="5184"/>
          </w:tcPr>
          <w:p>
            <w:r>
              <w:t>Backend API contract and standards</w:t>
            </w:r>
          </w:p>
        </w:tc>
      </w:tr>
      <w:tr>
        <w:tc>
          <w:tcPr>
            <w:tcW w:type="dxa" w:w="5184"/>
          </w:tcPr>
          <w:p>
            <w:r>
              <w:t>Technical Source</w:t>
            </w:r>
          </w:p>
        </w:tc>
        <w:tc>
          <w:tcPr>
            <w:tcW w:type="dxa" w:w="5184"/>
          </w:tcPr>
          <w:p>
            <w:r>
              <w:t>TDA-TDD-001 — TDD v1.1</w:t>
            </w:r>
          </w:p>
        </w:tc>
      </w:tr>
      <w:tr>
        <w:tc>
          <w:tcPr>
            <w:tcW w:type="dxa" w:w="5184"/>
          </w:tcPr>
          <w:p>
            <w:r>
              <w:t>Domain Sources</w:t>
            </w:r>
          </w:p>
        </w:tc>
        <w:tc>
          <w:tcPr>
            <w:tcW w:type="dxa" w:w="5184"/>
          </w:tcPr>
          <w:p>
            <w:r>
              <w:t>TDA-DOM-PAT-001 / TDA-DOM-APT-001 / TDA-DOM-NOTIF-001</w:t>
            </w:r>
          </w:p>
        </w:tc>
      </w:tr>
      <w:tr>
        <w:tc>
          <w:tcPr>
            <w:tcW w:type="dxa" w:w="5184"/>
          </w:tcPr>
          <w:p>
            <w:r>
              <w:t>Database Sources</w:t>
            </w:r>
          </w:p>
        </w:tc>
        <w:tc>
          <w:tcPr>
            <w:tcW w:type="dxa" w:w="5184"/>
          </w:tcPr>
          <w:p>
            <w:r>
              <w:t>TDA-DDD-PAT-001 / TDA-DDD-APT-001 / TDA-DDD-NOTIF-001</w:t>
            </w:r>
          </w:p>
        </w:tc>
      </w:tr>
      <w:tr>
        <w:tc>
          <w:tcPr>
            <w:tcW w:type="dxa" w:w="5184"/>
          </w:tcPr>
          <w:p>
            <w:r>
              <w:t>Governance</w:t>
            </w:r>
          </w:p>
        </w:tc>
        <w:tc>
          <w:tcPr>
            <w:tcW w:type="dxa" w:w="5184"/>
          </w:tcPr>
          <w:p>
            <w:r>
              <w:t>TDA-GOV-SOT-001 / TDA-GOV-CUR-001 / TDA-GOV-CMP-001</w:t>
            </w:r>
          </w:p>
        </w:tc>
      </w:tr>
      <w:tr>
        <w:tc>
          <w:tcPr>
            <w:tcW w:type="dxa" w:w="5184"/>
          </w:tcPr>
          <w:p>
            <w:r>
              <w:t>Traceability</w:t>
            </w:r>
          </w:p>
        </w:tc>
        <w:tc>
          <w:tcPr>
            <w:tcW w:type="dxa" w:w="5184"/>
          </w:tcPr>
          <w:p>
            <w:r>
              <w:t>TDA-GOV-RTM-001</w:t>
            </w:r>
          </w:p>
        </w:tc>
      </w:tr>
      <w:tr>
        <w:tc>
          <w:tcPr>
            <w:tcW w:type="dxa" w:w="5184"/>
          </w:tcPr>
          <w:p>
            <w:r>
              <w:t>Target Runtime</w:t>
            </w:r>
          </w:p>
        </w:tc>
        <w:tc>
          <w:tcPr>
            <w:tcW w:type="dxa" w:w="5184"/>
          </w:tcPr>
          <w:p>
            <w:r>
              <w:t>Production-ready REST API; exact framework follows approved TDD/code baseline</w:t>
            </w:r>
          </w:p>
        </w:tc>
      </w:tr>
      <w:tr>
        <w:tc>
          <w:tcPr>
            <w:tcW w:type="dxa" w:w="5184"/>
          </w:tcPr>
          <w:p>
            <w:r>
              <w:t>Time Standard</w:t>
            </w:r>
          </w:p>
        </w:tc>
        <w:tc>
          <w:tcPr>
            <w:tcW w:type="dxa" w:w="5184"/>
          </w:tcPr>
          <w:p>
            <w:r>
              <w:t>UTC on wire for timestamps</w:t>
            </w:r>
          </w:p>
        </w:tc>
      </w:tr>
    </w:tbl>
    <w:p>
      <w:pPr>
        <w:pStyle w:val="Heading1"/>
      </w:pPr>
      <w:r>
        <w:t>2. Purpose</w:t>
      </w:r>
    </w:p>
    <w:p>
      <w:r>
        <w:t>This specification establishes the common API architecture, resource conventions, authentication and authorization boundaries, request/response rules, validation, error handling, pagination, idempotency, concurrency, observability, versioning and domain API design standards. Domain-specific endpoints must conform to these standards unless an approved ADR states otherwise.</w:t>
      </w:r>
    </w:p>
    <w:p>
      <w:pPr>
        <w:pStyle w:val="Heading1"/>
      </w:pPr>
      <w:r>
        <w:t>3. API Architectural Principles</w:t>
      </w:r>
    </w:p>
    <w:p>
      <w:pPr>
        <w:pStyle w:val="ListBullet"/>
      </w:pPr>
      <w:r>
        <w:t>API is a controlled application boundary; domain rules remain in domain/application services, not controllers.</w:t>
      </w:r>
    </w:p>
    <w:p>
      <w:pPr>
        <w:pStyle w:val="ListBullet"/>
      </w:pPr>
      <w:r>
        <w:t>Tenant context is derived server-side from authenticated identity and authorization context.</w:t>
      </w:r>
    </w:p>
    <w:p>
      <w:pPr>
        <w:pStyle w:val="ListBullet"/>
      </w:pPr>
      <w:r>
        <w:t>API contracts must map to approved domain and database specifications.</w:t>
      </w:r>
    </w:p>
    <w:p>
      <w:pPr>
        <w:pStyle w:val="ListBullet"/>
      </w:pPr>
      <w:r>
        <w:t>Controllers/endpoints should be thin; business invariants must not be duplicated across endpoints.</w:t>
      </w:r>
    </w:p>
    <w:p>
      <w:pPr>
        <w:pStyle w:val="ListBullet"/>
      </w:pPr>
      <w:r>
        <w:t>External providers are isolated behind adapters/services.</w:t>
      </w:r>
    </w:p>
    <w:p>
      <w:pPr>
        <w:pStyle w:val="ListBullet"/>
      </w:pPr>
      <w:r>
        <w:t>Mutating operations return deterministic, documented outcomes.</w:t>
      </w:r>
    </w:p>
    <w:p>
      <w:pPr>
        <w:pStyle w:val="ListBullet"/>
      </w:pPr>
      <w:r>
        <w:t>Every request is traceable through correlation/request identifiers.</w:t>
      </w:r>
    </w:p>
    <w:p>
      <w:pPr>
        <w:pStyle w:val="ListBullet"/>
      </w:pPr>
      <w:r>
        <w:t>API behavior must be secure by default and fail closed.</w:t>
      </w:r>
    </w:p>
    <w:p>
      <w:pPr>
        <w:pStyle w:val="Heading1"/>
      </w:pPr>
      <w:r>
        <w:t>4. Recommended Layering</w:t>
      </w:r>
    </w:p>
    <w:p>
      <w:r>
        <w:rPr>
          <w:b/>
        </w:rPr>
        <w:t>Client → API Endpoint → Authentication/Authorization → Application Service → Domain → Repository/Data Access → PostgreSQL</w:t>
      </w:r>
    </w:p>
    <w:p>
      <w:pPr>
        <w:pStyle w:val="ListBullet"/>
      </w:pPr>
      <w:r>
        <w:t>API endpoint: transport concerns only.</w:t>
      </w:r>
    </w:p>
    <w:p>
      <w:pPr>
        <w:pStyle w:val="ListBullet"/>
      </w:pPr>
      <w:r>
        <w:t>Application service: orchestration, transaction boundary and use-case coordination.</w:t>
      </w:r>
    </w:p>
    <w:p>
      <w:pPr>
        <w:pStyle w:val="ListBullet"/>
      </w:pPr>
      <w:r>
        <w:t>Domain: business invariants and state transitions.</w:t>
      </w:r>
    </w:p>
    <w:p>
      <w:pPr>
        <w:pStyle w:val="ListBullet"/>
      </w:pPr>
      <w:r>
        <w:t>Repository/data access: persistence concerns.</w:t>
      </w:r>
    </w:p>
    <w:p>
      <w:pPr>
        <w:pStyle w:val="ListBullet"/>
      </w:pPr>
      <w:r>
        <w:t>Infrastructure: email/SMS/provider adapters, queues/workers and external services.</w:t>
      </w:r>
    </w:p>
    <w:p>
      <w:pPr>
        <w:pStyle w:val="Heading1"/>
      </w:pPr>
      <w:r>
        <w:t>5. API Base &amp; Versioning</w:t>
      </w:r>
    </w:p>
    <w:p>
      <w:pPr>
        <w:pStyle w:val="ListBullet"/>
      </w:pPr>
      <w:r>
        <w:t>Use an explicit major API version, e.g. /api/v1/.</w:t>
      </w:r>
    </w:p>
    <w:p>
      <w:pPr>
        <w:pStyle w:val="ListBullet"/>
      </w:pPr>
      <w:r>
        <w:t>Breaking contract changes require a new major version or approved compatibility strategy.</w:t>
      </w:r>
    </w:p>
    <w:p>
      <w:pPr>
        <w:pStyle w:val="ListBullet"/>
      </w:pPr>
      <w:r>
        <w:t>Non-breaking additions may be introduced within the same major version.</w:t>
      </w:r>
    </w:p>
    <w:p>
      <w:pPr>
        <w:pStyle w:val="ListBullet"/>
      </w:pPr>
      <w:r>
        <w:t>API version must not be inferred from database schema version.</w:t>
      </w:r>
    </w:p>
    <w:p>
      <w:pPr>
        <w:pStyle w:val="ListBullet"/>
      </w:pPr>
      <w:r>
        <w:t>Deprecated endpoints require documented deprecation and removal policy.</w:t>
      </w:r>
    </w:p>
    <w:p>
      <w:pPr>
        <w:pStyle w:val="Heading1"/>
      </w:pPr>
      <w:r>
        <w:t>6. Resource Naming</w:t>
      </w:r>
    </w:p>
    <w:tbl>
      <w:tblPr>
        <w:tblStyle w:val="TableGrid"/>
        <w:tblW w:type="auto" w:w="0"/>
        <w:tblLook w:firstColumn="1" w:firstRow="1" w:lastColumn="0" w:lastRow="0" w:noHBand="0" w:noVBand="1" w:val="04A0"/>
      </w:tblPr>
      <w:tblGrid>
        <w:gridCol w:w="3456"/>
        <w:gridCol w:w="3456"/>
        <w:gridCol w:w="3456"/>
      </w:tblGrid>
      <w:tr>
        <w:tc>
          <w:tcPr>
            <w:tcW w:type="dxa" w:w="3456"/>
          </w:tcPr>
          <w:p>
            <w:r>
              <w:t>Pattern</w:t>
            </w:r>
          </w:p>
        </w:tc>
        <w:tc>
          <w:tcPr>
            <w:tcW w:type="dxa" w:w="3456"/>
          </w:tcPr>
          <w:p>
            <w:r>
              <w:t>Example</w:t>
            </w:r>
          </w:p>
        </w:tc>
        <w:tc>
          <w:tcPr>
            <w:tcW w:type="dxa" w:w="3456"/>
          </w:tcPr>
          <w:p>
            <w:r>
              <w:t>Rule</w:t>
            </w:r>
          </w:p>
        </w:tc>
      </w:tr>
      <w:tr>
        <w:tc>
          <w:tcPr>
            <w:tcW w:type="dxa" w:w="3456"/>
          </w:tcPr>
          <w:p>
            <w:r>
              <w:t>Collection</w:t>
            </w:r>
          </w:p>
        </w:tc>
        <w:tc>
          <w:tcPr>
            <w:tcW w:type="dxa" w:w="3456"/>
          </w:tcPr>
          <w:p>
            <w:r>
              <w:t>/api/v1/patients</w:t>
            </w:r>
          </w:p>
        </w:tc>
        <w:tc>
          <w:tcPr>
            <w:tcW w:type="dxa" w:w="3456"/>
          </w:tcPr>
          <w:p>
            <w:r>
              <w:t>Plural nouns</w:t>
            </w:r>
          </w:p>
        </w:tc>
      </w:tr>
      <w:tr>
        <w:tc>
          <w:tcPr>
            <w:tcW w:type="dxa" w:w="3456"/>
          </w:tcPr>
          <w:p>
            <w:r>
              <w:t>Single resource</w:t>
            </w:r>
          </w:p>
        </w:tc>
        <w:tc>
          <w:tcPr>
            <w:tcW w:type="dxa" w:w="3456"/>
          </w:tcPr>
          <w:p>
            <w:r>
              <w:t>/api/v1/patients/{patientId}</w:t>
            </w:r>
          </w:p>
        </w:tc>
        <w:tc>
          <w:tcPr>
            <w:tcW w:type="dxa" w:w="3456"/>
          </w:tcPr>
          <w:p>
            <w:r>
              <w:t>Stable identifier</w:t>
            </w:r>
          </w:p>
        </w:tc>
      </w:tr>
      <w:tr>
        <w:tc>
          <w:tcPr>
            <w:tcW w:type="dxa" w:w="3456"/>
          </w:tcPr>
          <w:p>
            <w:r>
              <w:t>Subresource</w:t>
            </w:r>
          </w:p>
        </w:tc>
        <w:tc>
          <w:tcPr>
            <w:tcW w:type="dxa" w:w="3456"/>
          </w:tcPr>
          <w:p>
            <w:r>
              <w:t>/api/v1/patients/{patientId}/appointments</w:t>
            </w:r>
          </w:p>
        </w:tc>
        <w:tc>
          <w:tcPr>
            <w:tcW w:type="dxa" w:w="3456"/>
          </w:tcPr>
          <w:p>
            <w:r>
              <w:t>Use when relationship is meaningful</w:t>
            </w:r>
          </w:p>
        </w:tc>
      </w:tr>
      <w:tr>
        <w:tc>
          <w:tcPr>
            <w:tcW w:type="dxa" w:w="3456"/>
          </w:tcPr>
          <w:p>
            <w:r>
              <w:t>Action</w:t>
            </w:r>
          </w:p>
        </w:tc>
        <w:tc>
          <w:tcPr>
            <w:tcW w:type="dxa" w:w="3456"/>
          </w:tcPr>
          <w:p>
            <w:r>
              <w:t>/api/v1/appointments/{id}/confirm</w:t>
            </w:r>
          </w:p>
        </w:tc>
        <w:tc>
          <w:tcPr>
            <w:tcW w:type="dxa" w:w="3456"/>
          </w:tcPr>
          <w:p>
            <w:r>
              <w:t>Use sparingly for explicit domain commands</w:t>
            </w:r>
          </w:p>
        </w:tc>
      </w:tr>
      <w:tr>
        <w:tc>
          <w:tcPr>
            <w:tcW w:type="dxa" w:w="3456"/>
          </w:tcPr>
          <w:p>
            <w:r>
              <w:t>Search</w:t>
            </w:r>
          </w:p>
        </w:tc>
        <w:tc>
          <w:tcPr>
            <w:tcW w:type="dxa" w:w="3456"/>
          </w:tcPr>
          <w:p>
            <w:r>
              <w:t>GET /api/v1/patients?query=...</w:t>
            </w:r>
          </w:p>
        </w:tc>
        <w:tc>
          <w:tcPr>
            <w:tcW w:type="dxa" w:w="3456"/>
          </w:tcPr>
          <w:p>
            <w:r>
              <w:t>Use query parameters for retrieval/filtering</w:t>
            </w:r>
          </w:p>
        </w:tc>
      </w:tr>
    </w:tbl>
    <w:p>
      <w:pPr>
        <w:pStyle w:val="Heading1"/>
      </w:pPr>
      <w:r>
        <w:t>7. HTTP Method Semantics</w:t>
      </w:r>
    </w:p>
    <w:p>
      <w:pPr>
        <w:pStyle w:val="ListBullet"/>
      </w:pPr>
      <w:r>
        <w:t>GET — read-only retrieval; must not mutate business state.</w:t>
      </w:r>
    </w:p>
    <w:p>
      <w:pPr>
        <w:pStyle w:val="ListBullet"/>
      </w:pPr>
      <w:r>
        <w:t>POST — create resource or execute explicit domain command where appropriate.</w:t>
      </w:r>
    </w:p>
    <w:p>
      <w:pPr>
        <w:pStyle w:val="ListBullet"/>
      </w:pPr>
      <w:r>
        <w:t>PUT — full replacement only when semantics genuinely require it.</w:t>
      </w:r>
    </w:p>
    <w:p>
      <w:pPr>
        <w:pStyle w:val="ListBullet"/>
      </w:pPr>
      <w:r>
        <w:t>PATCH — partial update when supported by the domain contract.</w:t>
      </w:r>
    </w:p>
    <w:p>
      <w:pPr>
        <w:pStyle w:val="ListBullet"/>
      </w:pPr>
      <w:r>
        <w:t>DELETE — only where destructive/deactivation semantics are explicitly approved.</w:t>
      </w:r>
    </w:p>
    <w:p>
      <w:pPr>
        <w:pStyle w:val="ListBullet"/>
      </w:pPr>
      <w:r>
        <w:t>Command endpoints may be used for state transitions such as confirm/cancel/reschedule when they improve clarity and idempotency.</w:t>
      </w:r>
    </w:p>
    <w:p>
      <w:pPr>
        <w:pStyle w:val="Heading1"/>
      </w:pPr>
      <w:r>
        <w:t>8. Authentication</w:t>
      </w:r>
    </w:p>
    <w:p>
      <w:pPr>
        <w:pStyle w:val="ListBullet"/>
      </w:pPr>
      <w:r>
        <w:t>All protected business APIs require authenticated identity.</w:t>
      </w:r>
    </w:p>
    <w:p>
      <w:pPr>
        <w:pStyle w:val="ListBullet"/>
      </w:pPr>
      <w:r>
        <w:t>Authentication mechanism is defined by the approved Identity/Foundation architecture.</w:t>
      </w:r>
    </w:p>
    <w:p>
      <w:pPr>
        <w:pStyle w:val="ListBullet"/>
      </w:pPr>
      <w:r>
        <w:t>Tokens/sessions must be validated server-side.</w:t>
      </w:r>
    </w:p>
    <w:p>
      <w:pPr>
        <w:pStyle w:val="ListBullet"/>
      </w:pPr>
      <w:r>
        <w:t>Unauthenticated requests receive a safe 401 response.</w:t>
      </w:r>
    </w:p>
    <w:p>
      <w:pPr>
        <w:pStyle w:val="ListBullet"/>
      </w:pPr>
      <w:r>
        <w:t>Authentication errors must not reveal internal identity/provider details.</w:t>
      </w:r>
    </w:p>
    <w:p>
      <w:pPr>
        <w:pStyle w:val="Heading1"/>
      </w:pPr>
      <w:r>
        <w:t>9. Authorization &amp; Tenant Isolation</w:t>
      </w:r>
    </w:p>
    <w:p>
      <w:pPr>
        <w:pStyle w:val="ListBullet"/>
      </w:pPr>
      <w:r>
        <w:t>Authentication establishes who the actor is; authorization determines what the actor may do.</w:t>
      </w:r>
    </w:p>
    <w:p>
      <w:pPr>
        <w:pStyle w:val="ListBullet"/>
      </w:pPr>
      <w:r>
        <w:t>Every tenant-owned resource request is checked against organization membership/role/policy.</w:t>
      </w:r>
    </w:p>
    <w:p>
      <w:pPr>
        <w:pStyle w:val="ListBullet"/>
      </w:pPr>
      <w:r>
        <w:t>organization_id supplied by a client is never trusted as the sole authorization boundary.</w:t>
      </w:r>
    </w:p>
    <w:p>
      <w:pPr>
        <w:pStyle w:val="ListBullet"/>
      </w:pPr>
      <w:r>
        <w:t>Cross-tenant resource access must return safe not-found/forbidden behavior according to the security policy.</w:t>
      </w:r>
    </w:p>
    <w:p>
      <w:pPr>
        <w:pStyle w:val="ListBullet"/>
      </w:pPr>
      <w:r>
        <w:t>Privileged operations such as patient merge require explicit elevated permission.</w:t>
      </w:r>
    </w:p>
    <w:p>
      <w:pPr>
        <w:pStyle w:val="ListBullet"/>
      </w:pPr>
      <w:r>
        <w:t>Background workers use controlled service identities and tenant context.</w:t>
      </w:r>
    </w:p>
    <w:p>
      <w:pPr>
        <w:pStyle w:val="Heading1"/>
      </w:pPr>
      <w:r>
        <w:t>10. Common Request Headers</w:t>
      </w:r>
    </w:p>
    <w:tbl>
      <w:tblPr>
        <w:tblStyle w:val="TableGrid"/>
        <w:tblW w:type="auto" w:w="0"/>
        <w:tblLook w:firstColumn="1" w:firstRow="1" w:lastColumn="0" w:lastRow="0" w:noHBand="0" w:noVBand="1" w:val="04A0"/>
      </w:tblPr>
      <w:tblGrid>
        <w:gridCol w:w="3456"/>
        <w:gridCol w:w="3456"/>
        <w:gridCol w:w="3456"/>
      </w:tblGrid>
      <w:tr>
        <w:tc>
          <w:tcPr>
            <w:tcW w:type="dxa" w:w="3456"/>
          </w:tcPr>
          <w:p>
            <w:r>
              <w:t>Header</w:t>
            </w:r>
          </w:p>
        </w:tc>
        <w:tc>
          <w:tcPr>
            <w:tcW w:type="dxa" w:w="3456"/>
          </w:tcPr>
          <w:p>
            <w:r>
              <w:t>Purpose</w:t>
            </w:r>
          </w:p>
        </w:tc>
        <w:tc>
          <w:tcPr>
            <w:tcW w:type="dxa" w:w="3456"/>
          </w:tcPr>
          <w:p>
            <w:r>
              <w:t>Rule</w:t>
            </w:r>
          </w:p>
        </w:tc>
      </w:tr>
      <w:tr>
        <w:tc>
          <w:tcPr>
            <w:tcW w:type="dxa" w:w="3456"/>
          </w:tcPr>
          <w:p>
            <w:r>
              <w:t>Authorization</w:t>
            </w:r>
          </w:p>
        </w:tc>
        <w:tc>
          <w:tcPr>
            <w:tcW w:type="dxa" w:w="3456"/>
          </w:tcPr>
          <w:p>
            <w:r>
              <w:t>Authentication</w:t>
            </w:r>
          </w:p>
        </w:tc>
        <w:tc>
          <w:tcPr>
            <w:tcW w:type="dxa" w:w="3456"/>
          </w:tcPr>
          <w:p>
            <w:r>
              <w:t>Required for protected APIs.</w:t>
            </w:r>
          </w:p>
        </w:tc>
      </w:tr>
      <w:tr>
        <w:tc>
          <w:tcPr>
            <w:tcW w:type="dxa" w:w="3456"/>
          </w:tcPr>
          <w:p>
            <w:r>
              <w:t>Content-Type</w:t>
            </w:r>
          </w:p>
        </w:tc>
        <w:tc>
          <w:tcPr>
            <w:tcW w:type="dxa" w:w="3456"/>
          </w:tcPr>
          <w:p>
            <w:r>
              <w:t>Payload format</w:t>
            </w:r>
          </w:p>
        </w:tc>
        <w:tc>
          <w:tcPr>
            <w:tcW w:type="dxa" w:w="3456"/>
          </w:tcPr>
          <w:p>
            <w:r>
              <w:t>application/json unless documented otherwise.</w:t>
            </w:r>
          </w:p>
        </w:tc>
      </w:tr>
      <w:tr>
        <w:tc>
          <w:tcPr>
            <w:tcW w:type="dxa" w:w="3456"/>
          </w:tcPr>
          <w:p>
            <w:r>
              <w:t>Accept</w:t>
            </w:r>
          </w:p>
        </w:tc>
        <w:tc>
          <w:tcPr>
            <w:tcW w:type="dxa" w:w="3456"/>
          </w:tcPr>
          <w:p>
            <w:r>
              <w:t>Response format</w:t>
            </w:r>
          </w:p>
        </w:tc>
        <w:tc>
          <w:tcPr>
            <w:tcW w:type="dxa" w:w="3456"/>
          </w:tcPr>
          <w:p>
            <w:r>
              <w:t>application/json.</w:t>
            </w:r>
          </w:p>
        </w:tc>
      </w:tr>
      <w:tr>
        <w:tc>
          <w:tcPr>
            <w:tcW w:type="dxa" w:w="3456"/>
          </w:tcPr>
          <w:p>
            <w:r>
              <w:t>X-Correlation-ID</w:t>
            </w:r>
          </w:p>
        </w:tc>
        <w:tc>
          <w:tcPr>
            <w:tcW w:type="dxa" w:w="3456"/>
          </w:tcPr>
          <w:p>
            <w:r>
              <w:t>Cross-system tracing</w:t>
            </w:r>
          </w:p>
        </w:tc>
        <w:tc>
          <w:tcPr>
            <w:tcW w:type="dxa" w:w="3456"/>
          </w:tcPr>
          <w:p>
            <w:r>
              <w:t>Accept client value only after validation or generate server-side.</w:t>
            </w:r>
          </w:p>
        </w:tc>
      </w:tr>
      <w:tr>
        <w:tc>
          <w:tcPr>
            <w:tcW w:type="dxa" w:w="3456"/>
          </w:tcPr>
          <w:p>
            <w:r>
              <w:t>Idempotency-Key</w:t>
            </w:r>
          </w:p>
        </w:tc>
        <w:tc>
          <w:tcPr>
            <w:tcW w:type="dxa" w:w="3456"/>
          </w:tcPr>
          <w:p>
            <w:r>
              <w:t>Safe retry for selected mutations</w:t>
            </w:r>
          </w:p>
        </w:tc>
        <w:tc>
          <w:tcPr>
            <w:tcW w:type="dxa" w:w="3456"/>
          </w:tcPr>
          <w:p>
            <w:r>
              <w:t>Required where operation contract specifies.</w:t>
            </w:r>
          </w:p>
        </w:tc>
      </w:tr>
      <w:tr>
        <w:tc>
          <w:tcPr>
            <w:tcW w:type="dxa" w:w="3456"/>
          </w:tcPr>
          <w:p>
            <w:r>
              <w:t>If-Match / version</w:t>
            </w:r>
          </w:p>
        </w:tc>
        <w:tc>
          <w:tcPr>
            <w:tcW w:type="dxa" w:w="3456"/>
          </w:tcPr>
          <w:p>
            <w:r>
              <w:t>Optimistic concurrency</w:t>
            </w:r>
          </w:p>
        </w:tc>
        <w:tc>
          <w:tcPr>
            <w:tcW w:type="dxa" w:w="3456"/>
          </w:tcPr>
          <w:p>
            <w:r>
              <w:t>Use where resource supports version control.</w:t>
            </w:r>
          </w:p>
        </w:tc>
      </w:tr>
    </w:tbl>
    <w:p>
      <w:pPr>
        <w:pStyle w:val="Heading1"/>
      </w:pPr>
      <w:r>
        <w:t>11. Common Response Envelope</w:t>
      </w:r>
    </w:p>
    <w:p>
      <w:r>
        <w:t>Successful responses should be consistent, but avoid unnecessary envelope nesting. A documented project convention must be used across all endpoints.</w:t>
      </w:r>
    </w:p>
    <w:tbl>
      <w:tblPr>
        <w:tblStyle w:val="TableGrid"/>
        <w:tblW w:type="auto" w:w="0"/>
        <w:tblLook w:firstColumn="1" w:firstRow="1" w:lastColumn="0" w:lastRow="0" w:noHBand="0" w:noVBand="1" w:val="04A0"/>
      </w:tblPr>
      <w:tblGrid>
        <w:gridCol w:w="3456"/>
        <w:gridCol w:w="3456"/>
        <w:gridCol w:w="3456"/>
      </w:tblGrid>
      <w:tr>
        <w:tc>
          <w:tcPr>
            <w:tcW w:type="dxa" w:w="3456"/>
          </w:tcPr>
          <w:p>
            <w:r>
              <w:t>Response Type</w:t>
            </w:r>
          </w:p>
        </w:tc>
        <w:tc>
          <w:tcPr>
            <w:tcW w:type="dxa" w:w="3456"/>
          </w:tcPr>
          <w:p>
            <w:r>
              <w:t>Recommended Shape</w:t>
            </w:r>
          </w:p>
        </w:tc>
        <w:tc>
          <w:tcPr>
            <w:tcW w:type="dxa" w:w="3456"/>
          </w:tcPr>
          <w:p>
            <w:r>
              <w:t>Rule</w:t>
            </w:r>
          </w:p>
        </w:tc>
      </w:tr>
      <w:tr>
        <w:tc>
          <w:tcPr>
            <w:tcW w:type="dxa" w:w="3456"/>
          </w:tcPr>
          <w:p>
            <w:r>
              <w:t>Single resource</w:t>
            </w:r>
          </w:p>
        </w:tc>
        <w:tc>
          <w:tcPr>
            <w:tcW w:type="dxa" w:w="3456"/>
          </w:tcPr>
          <w:p>
            <w:r>
              <w:t>{ data: {...} }</w:t>
            </w:r>
          </w:p>
        </w:tc>
        <w:tc>
          <w:tcPr>
            <w:tcW w:type="dxa" w:w="3456"/>
          </w:tcPr>
          <w:p>
            <w:r>
              <w:t>Consistent resource representation.</w:t>
            </w:r>
          </w:p>
        </w:tc>
      </w:tr>
      <w:tr>
        <w:tc>
          <w:tcPr>
            <w:tcW w:type="dxa" w:w="3456"/>
          </w:tcPr>
          <w:p>
            <w:r>
              <w:t>Collection</w:t>
            </w:r>
          </w:p>
        </w:tc>
        <w:tc>
          <w:tcPr>
            <w:tcW w:type="dxa" w:w="3456"/>
          </w:tcPr>
          <w:p>
            <w:r>
              <w:t>{ data: [...], meta: {...} }</w:t>
            </w:r>
          </w:p>
        </w:tc>
        <w:tc>
          <w:tcPr>
            <w:tcW w:type="dxa" w:w="3456"/>
          </w:tcPr>
          <w:p>
            <w:r>
              <w:t>Pagination metadata when applicable.</w:t>
            </w:r>
          </w:p>
        </w:tc>
      </w:tr>
      <w:tr>
        <w:tc>
          <w:tcPr>
            <w:tcW w:type="dxa" w:w="3456"/>
          </w:tcPr>
          <w:p>
            <w:r>
              <w:t>Command</w:t>
            </w:r>
          </w:p>
        </w:tc>
        <w:tc>
          <w:tcPr>
            <w:tcW w:type="dxa" w:w="3456"/>
          </w:tcPr>
          <w:p>
            <w:r>
              <w:t>{ data: {...}, meta: {...} }</w:t>
            </w:r>
          </w:p>
        </w:tc>
        <w:tc>
          <w:tcPr>
            <w:tcW w:type="dxa" w:w="3456"/>
          </w:tcPr>
          <w:p>
            <w:r>
              <w:t>Return resulting state/resource.</w:t>
            </w:r>
          </w:p>
        </w:tc>
      </w:tr>
      <w:tr>
        <w:tc>
          <w:tcPr>
            <w:tcW w:type="dxa" w:w="3456"/>
          </w:tcPr>
          <w:p>
            <w:r>
              <w:t>No content</w:t>
            </w:r>
          </w:p>
        </w:tc>
        <w:tc>
          <w:tcPr>
            <w:tcW w:type="dxa" w:w="3456"/>
          </w:tcPr>
          <w:p>
            <w:r>
              <w:t>HTTP 204</w:t>
            </w:r>
          </w:p>
        </w:tc>
        <w:tc>
          <w:tcPr>
            <w:tcW w:type="dxa" w:w="3456"/>
          </w:tcPr>
          <w:p>
            <w:r>
              <w:t>Only when client needs no response body.</w:t>
            </w:r>
          </w:p>
        </w:tc>
      </w:tr>
    </w:tbl>
    <w:p>
      <w:pPr>
        <w:pStyle w:val="Heading1"/>
      </w:pPr>
      <w:r>
        <w:t>12. Error Contract</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HTTP</w:t>
            </w:r>
          </w:p>
        </w:tc>
        <w:tc>
          <w:tcPr>
            <w:tcW w:type="dxa" w:w="2592"/>
          </w:tcPr>
          <w:p>
            <w:r>
              <w:t>Category</w:t>
            </w:r>
          </w:p>
        </w:tc>
        <w:tc>
          <w:tcPr>
            <w:tcW w:type="dxa" w:w="2592"/>
          </w:tcPr>
          <w:p>
            <w:r>
              <w:t>Example</w:t>
            </w:r>
          </w:p>
        </w:tc>
        <w:tc>
          <w:tcPr>
            <w:tcW w:type="dxa" w:w="2592"/>
          </w:tcPr>
          <w:p>
            <w:r>
              <w:t>Rule</w:t>
            </w:r>
          </w:p>
        </w:tc>
      </w:tr>
      <w:tr>
        <w:tc>
          <w:tcPr>
            <w:tcW w:type="dxa" w:w="2592"/>
          </w:tcPr>
          <w:p>
            <w:r>
              <w:t>400</w:t>
            </w:r>
          </w:p>
        </w:tc>
        <w:tc>
          <w:tcPr>
            <w:tcW w:type="dxa" w:w="2592"/>
          </w:tcPr>
          <w:p>
            <w:r>
              <w:t>Bad Request</w:t>
            </w:r>
          </w:p>
        </w:tc>
        <w:tc>
          <w:tcPr>
            <w:tcW w:type="dxa" w:w="2592"/>
          </w:tcPr>
          <w:p>
            <w:r>
              <w:t>Malformed payload</w:t>
            </w:r>
          </w:p>
        </w:tc>
        <w:tc>
          <w:tcPr>
            <w:tcW w:type="dxa" w:w="2592"/>
          </w:tcPr>
          <w:p>
            <w:r>
              <w:t>Do not execute mutation.</w:t>
            </w:r>
          </w:p>
        </w:tc>
      </w:tr>
      <w:tr>
        <w:tc>
          <w:tcPr>
            <w:tcW w:type="dxa" w:w="2592"/>
          </w:tcPr>
          <w:p>
            <w:r>
              <w:t>401</w:t>
            </w:r>
          </w:p>
        </w:tc>
        <w:tc>
          <w:tcPr>
            <w:tcW w:type="dxa" w:w="2592"/>
          </w:tcPr>
          <w:p>
            <w:r>
              <w:t>Unauthenticated</w:t>
            </w:r>
          </w:p>
        </w:tc>
        <w:tc>
          <w:tcPr>
            <w:tcW w:type="dxa" w:w="2592"/>
          </w:tcPr>
          <w:p>
            <w:r>
              <w:t>Missing/invalid identity</w:t>
            </w:r>
          </w:p>
        </w:tc>
        <w:tc>
          <w:tcPr>
            <w:tcW w:type="dxa" w:w="2592"/>
          </w:tcPr>
          <w:p>
            <w:r>
              <w:t>Safe response.</w:t>
            </w:r>
          </w:p>
        </w:tc>
      </w:tr>
      <w:tr>
        <w:tc>
          <w:tcPr>
            <w:tcW w:type="dxa" w:w="2592"/>
          </w:tcPr>
          <w:p>
            <w:r>
              <w:t>403</w:t>
            </w:r>
          </w:p>
        </w:tc>
        <w:tc>
          <w:tcPr>
            <w:tcW w:type="dxa" w:w="2592"/>
          </w:tcPr>
          <w:p>
            <w:r>
              <w:t>Forbidden</w:t>
            </w:r>
          </w:p>
        </w:tc>
        <w:tc>
          <w:tcPr>
            <w:tcW w:type="dxa" w:w="2592"/>
          </w:tcPr>
          <w:p>
            <w:r>
              <w:t>Authenticated but not authorized</w:t>
            </w:r>
          </w:p>
        </w:tc>
        <w:tc>
          <w:tcPr>
            <w:tcW w:type="dxa" w:w="2592"/>
          </w:tcPr>
          <w:p>
            <w:r>
              <w:t>Do not reveal sensitive resource details.</w:t>
            </w:r>
          </w:p>
        </w:tc>
      </w:tr>
      <w:tr>
        <w:tc>
          <w:tcPr>
            <w:tcW w:type="dxa" w:w="2592"/>
          </w:tcPr>
          <w:p>
            <w:r>
              <w:t>404</w:t>
            </w:r>
          </w:p>
        </w:tc>
        <w:tc>
          <w:tcPr>
            <w:tcW w:type="dxa" w:w="2592"/>
          </w:tcPr>
          <w:p>
            <w:r>
              <w:t>Not Found</w:t>
            </w:r>
          </w:p>
        </w:tc>
        <w:tc>
          <w:tcPr>
            <w:tcW w:type="dxa" w:w="2592"/>
          </w:tcPr>
          <w:p>
            <w:r>
              <w:t>Resource unavailable to actor</w:t>
            </w:r>
          </w:p>
        </w:tc>
        <w:tc>
          <w:tcPr>
            <w:tcW w:type="dxa" w:w="2592"/>
          </w:tcPr>
          <w:p>
            <w:r>
              <w:t>Safe resource-existence semantics.</w:t>
            </w:r>
          </w:p>
        </w:tc>
      </w:tr>
      <w:tr>
        <w:tc>
          <w:tcPr>
            <w:tcW w:type="dxa" w:w="2592"/>
          </w:tcPr>
          <w:p>
            <w:r>
              <w:t>409</w:t>
            </w:r>
          </w:p>
        </w:tc>
        <w:tc>
          <w:tcPr>
            <w:tcW w:type="dxa" w:w="2592"/>
          </w:tcPr>
          <w:p>
            <w:r>
              <w:t>Conflict</w:t>
            </w:r>
          </w:p>
        </w:tc>
        <w:tc>
          <w:tcPr>
            <w:tcW w:type="dxa" w:w="2592"/>
          </w:tcPr>
          <w:p>
            <w:r>
              <w:t>Concurrency/state/conflict</w:t>
            </w:r>
          </w:p>
        </w:tc>
        <w:tc>
          <w:tcPr>
            <w:tcW w:type="dxa" w:w="2592"/>
          </w:tcPr>
          <w:p>
            <w:r>
              <w:t>Return actionable conflict code.</w:t>
            </w:r>
          </w:p>
        </w:tc>
      </w:tr>
      <w:tr>
        <w:tc>
          <w:tcPr>
            <w:tcW w:type="dxa" w:w="2592"/>
          </w:tcPr>
          <w:p>
            <w:r>
              <w:t>422</w:t>
            </w:r>
          </w:p>
        </w:tc>
        <w:tc>
          <w:tcPr>
            <w:tcW w:type="dxa" w:w="2592"/>
          </w:tcPr>
          <w:p>
            <w:r>
              <w:t>Validation</w:t>
            </w:r>
          </w:p>
        </w:tc>
        <w:tc>
          <w:tcPr>
            <w:tcW w:type="dxa" w:w="2592"/>
          </w:tcPr>
          <w:p>
            <w:r>
              <w:t>Business/input validation</w:t>
            </w:r>
          </w:p>
        </w:tc>
        <w:tc>
          <w:tcPr>
            <w:tcW w:type="dxa" w:w="2592"/>
          </w:tcPr>
          <w:p>
            <w:r>
              <w:t>Field-level details where safe.</w:t>
            </w:r>
          </w:p>
        </w:tc>
      </w:tr>
      <w:tr>
        <w:tc>
          <w:tcPr>
            <w:tcW w:type="dxa" w:w="2592"/>
          </w:tcPr>
          <w:p>
            <w:r>
              <w:t>429</w:t>
            </w:r>
          </w:p>
        </w:tc>
        <w:tc>
          <w:tcPr>
            <w:tcW w:type="dxa" w:w="2592"/>
          </w:tcPr>
          <w:p>
            <w:r>
              <w:t>Rate Limited</w:t>
            </w:r>
          </w:p>
        </w:tc>
        <w:tc>
          <w:tcPr>
            <w:tcW w:type="dxa" w:w="2592"/>
          </w:tcPr>
          <w:p>
            <w:r>
              <w:t>Too many requests</w:t>
            </w:r>
          </w:p>
        </w:tc>
        <w:tc>
          <w:tcPr>
            <w:tcW w:type="dxa" w:w="2592"/>
          </w:tcPr>
          <w:p>
            <w:r>
              <w:t>Retry guidance where appropriate.</w:t>
            </w:r>
          </w:p>
        </w:tc>
      </w:tr>
      <w:tr>
        <w:tc>
          <w:tcPr>
            <w:tcW w:type="dxa" w:w="2592"/>
          </w:tcPr>
          <w:p>
            <w:r>
              <w:t>500</w:t>
            </w:r>
          </w:p>
        </w:tc>
        <w:tc>
          <w:tcPr>
            <w:tcW w:type="dxa" w:w="2592"/>
          </w:tcPr>
          <w:p>
            <w:r>
              <w:t>Internal Error</w:t>
            </w:r>
          </w:p>
        </w:tc>
        <w:tc>
          <w:tcPr>
            <w:tcW w:type="dxa" w:w="2592"/>
          </w:tcPr>
          <w:p>
            <w:r>
              <w:t>Unexpected server failure</w:t>
            </w:r>
          </w:p>
        </w:tc>
        <w:tc>
          <w:tcPr>
            <w:tcW w:type="dxa" w:w="2592"/>
          </w:tcPr>
          <w:p>
            <w:r>
              <w:t>Generic client message; detailed server logs.</w:t>
            </w:r>
          </w:p>
        </w:tc>
      </w:tr>
      <w:tr>
        <w:tc>
          <w:tcPr>
            <w:tcW w:type="dxa" w:w="2592"/>
          </w:tcPr>
          <w:p>
            <w:r>
              <w:t>503</w:t>
            </w:r>
          </w:p>
        </w:tc>
        <w:tc>
          <w:tcPr>
            <w:tcW w:type="dxa" w:w="2592"/>
          </w:tcPr>
          <w:p>
            <w:r>
              <w:t>Unavailable</w:t>
            </w:r>
          </w:p>
        </w:tc>
        <w:tc>
          <w:tcPr>
            <w:tcW w:type="dxa" w:w="2592"/>
          </w:tcPr>
          <w:p>
            <w:r>
              <w:t>Dependency unavailable</w:t>
            </w:r>
          </w:p>
        </w:tc>
        <w:tc>
          <w:tcPr>
            <w:tcW w:type="dxa" w:w="2592"/>
          </w:tcPr>
          <w:p>
            <w:r>
              <w:t>Use only when service/dependency semantics warrant.</w:t>
            </w:r>
          </w:p>
        </w:tc>
      </w:tr>
    </w:tbl>
    <w:p>
      <w:pPr>
        <w:pStyle w:val="Heading1"/>
      </w:pPr>
      <w:r>
        <w:t>13. Error Body Contract</w:t>
      </w:r>
    </w:p>
    <w:p>
      <w:r>
        <w:rPr>
          <w:b/>
        </w:rPr>
        <w:t xml:space="preserve">Recommended fields: </w:t>
      </w:r>
      <w:r>
        <w:t>code, message, details, correlationId, fieldErrors (when applicable).</w:t>
      </w:r>
    </w:p>
    <w:p>
      <w:pPr>
        <w:pStyle w:val="ListBullet"/>
      </w:pPr>
      <w:r>
        <w:t>Error codes are stable machine-readable identifiers.</w:t>
      </w:r>
    </w:p>
    <w:p>
      <w:pPr>
        <w:pStyle w:val="ListBullet"/>
      </w:pPr>
      <w:r>
        <w:t>Messages are safe for end users.</w:t>
      </w:r>
    </w:p>
    <w:p>
      <w:pPr>
        <w:pStyle w:val="ListBullet"/>
      </w:pPr>
      <w:r>
        <w:t>Stack traces, SQL, secrets and provider credentials never appear in responses.</w:t>
      </w:r>
    </w:p>
    <w:p>
      <w:pPr>
        <w:pStyle w:val="ListBullet"/>
      </w:pPr>
      <w:r>
        <w:t>Validation details identify fields but must not disclose protected data.</w:t>
      </w:r>
    </w:p>
    <w:p>
      <w:pPr>
        <w:pStyle w:val="Heading1"/>
      </w:pPr>
      <w:r>
        <w:t>14. Validation</w:t>
      </w:r>
    </w:p>
    <w:p>
      <w:pPr>
        <w:pStyle w:val="ListBullet"/>
      </w:pPr>
      <w:r>
        <w:t>Validate syntax at the API boundary.</w:t>
      </w:r>
    </w:p>
    <w:p>
      <w:pPr>
        <w:pStyle w:val="ListBullet"/>
      </w:pPr>
      <w:r>
        <w:t>Validate authorization before sensitive resource retrieval where possible.</w:t>
      </w:r>
    </w:p>
    <w:p>
      <w:pPr>
        <w:pStyle w:val="ListBullet"/>
      </w:pPr>
      <w:r>
        <w:t>Validate domain/business rules in the application/domain layer.</w:t>
      </w:r>
    </w:p>
    <w:p>
      <w:pPr>
        <w:pStyle w:val="ListBullet"/>
      </w:pPr>
      <w:r>
        <w:t>Normalize inputs consistently for patient search/contact identifiers.</w:t>
      </w:r>
    </w:p>
    <w:p>
      <w:pPr>
        <w:pStyle w:val="ListBullet"/>
      </w:pPr>
      <w:r>
        <w:t>Reject unknown or dangerous fields rather than silently accepting them.</w:t>
      </w:r>
    </w:p>
    <w:p>
      <w:pPr>
        <w:pStyle w:val="ListBullet"/>
      </w:pPr>
      <w:r>
        <w:t>Maximum request sizes and string lengths must be enforced.</w:t>
      </w:r>
    </w:p>
    <w:p>
      <w:pPr>
        <w:pStyle w:val="Heading1"/>
      </w:pPr>
      <w:r>
        <w:t>15. Idempotency</w:t>
      </w:r>
    </w:p>
    <w:p>
      <w:pPr>
        <w:pStyle w:val="ListBullet"/>
      </w:pPr>
      <w:r>
        <w:t>Create/mutation operations that may be safely retried should support Idempotency-Key.</w:t>
      </w:r>
    </w:p>
    <w:p>
      <w:pPr>
        <w:pStyle w:val="ListBullet"/>
      </w:pPr>
      <w:r>
        <w:t>Idempotency records must be scoped to authenticated tenant/actor and endpoint semantics.</w:t>
      </w:r>
    </w:p>
    <w:p>
      <w:pPr>
        <w:pStyle w:val="ListBullet"/>
      </w:pPr>
      <w:r>
        <w:t>Repeated identical requests return the original logical outcome where the operation is idempotent.</w:t>
      </w:r>
    </w:p>
    <w:p>
      <w:pPr>
        <w:pStyle w:val="ListBullet"/>
      </w:pPr>
      <w:r>
        <w:t>Conflicting reuse of an idempotency key must return a deterministic conflict.</w:t>
      </w:r>
    </w:p>
    <w:p>
      <w:pPr>
        <w:pStyle w:val="ListBullet"/>
      </w:pPr>
      <w:r>
        <w:t>Idempotency does not replace database uniqueness or domain invariants.</w:t>
      </w:r>
    </w:p>
    <w:p>
      <w:pPr>
        <w:pStyle w:val="Heading1"/>
      </w:pPr>
      <w:r>
        <w:t>16. Optimistic Concurrency</w:t>
      </w:r>
    </w:p>
    <w:p>
      <w:pPr>
        <w:pStyle w:val="ListBullet"/>
      </w:pPr>
      <w:r>
        <w:t>Patient and Appointment resources use version/concurrency checks where specified by their DDD.</w:t>
      </w:r>
    </w:p>
    <w:p>
      <w:pPr>
        <w:pStyle w:val="ListBullet"/>
      </w:pPr>
      <w:r>
        <w:t>Stale updates return 409 Conflict.</w:t>
      </w:r>
    </w:p>
    <w:p>
      <w:pPr>
        <w:pStyle w:val="ListBullet"/>
      </w:pPr>
      <w:r>
        <w:t>Do not silently overwrite newer changes.</w:t>
      </w:r>
    </w:p>
    <w:p>
      <w:pPr>
        <w:pStyle w:val="ListBullet"/>
      </w:pPr>
      <w:r>
        <w:t>Concurrency failures should include a stable error code such as RESOURCE_VERSION_CONFLICT.</w:t>
      </w:r>
    </w:p>
    <w:p>
      <w:pPr>
        <w:pStyle w:val="Heading1"/>
      </w:pPr>
      <w:r>
        <w:t>17. Pagination, Filtering &amp; Sorting</w:t>
      </w:r>
    </w:p>
    <w:p>
      <w:pPr>
        <w:pStyle w:val="ListBullet"/>
      </w:pPr>
      <w:r>
        <w:t>Collections must be paginated once result sizes can become large.</w:t>
      </w:r>
    </w:p>
    <w:p>
      <w:pPr>
        <w:pStyle w:val="ListBullet"/>
      </w:pPr>
      <w:r>
        <w:t>Use explicit page/pageSize or cursor-based pagination according to the endpoint's workload.</w:t>
      </w:r>
    </w:p>
    <w:p>
      <w:pPr>
        <w:pStyle w:val="ListBullet"/>
      </w:pPr>
      <w:r>
        <w:t>pageSize has a server-enforced maximum.</w:t>
      </w:r>
    </w:p>
    <w:p>
      <w:pPr>
        <w:pStyle w:val="ListBullet"/>
      </w:pPr>
      <w:r>
        <w:t>Sorting fields must be allowlisted.</w:t>
      </w:r>
    </w:p>
    <w:p>
      <w:pPr>
        <w:pStyle w:val="ListBullet"/>
      </w:pPr>
      <w:r>
        <w:t>Filter fields must be allowlisted.</w:t>
      </w:r>
    </w:p>
    <w:p>
      <w:pPr>
        <w:pStyle w:val="ListBullet"/>
      </w:pPr>
      <w:r>
        <w:t>Pagination metadata should include total/count only where it is safe and efficient; cursor pagination may omit total.</w:t>
      </w:r>
    </w:p>
    <w:p>
      <w:pPr>
        <w:pStyle w:val="Heading1"/>
      </w:pPr>
      <w:r>
        <w:t>18. Search API Rules</w:t>
      </w:r>
    </w:p>
    <w:p>
      <w:pPr>
        <w:pStyle w:val="ListBullet"/>
      </w:pPr>
      <w:r>
        <w:t>Search is read-only.</w:t>
      </w:r>
    </w:p>
    <w:p>
      <w:pPr>
        <w:pStyle w:val="ListBullet"/>
      </w:pPr>
      <w:r>
        <w:t>Patient search is tenant-scoped.</w:t>
      </w:r>
    </w:p>
    <w:p>
      <w:pPr>
        <w:pStyle w:val="ListBullet"/>
      </w:pPr>
      <w:r>
        <w:t>Search endpoints must enforce field-level authorization.</w:t>
      </w:r>
    </w:p>
    <w:p>
      <w:pPr>
        <w:pStyle w:val="ListBullet"/>
      </w:pPr>
      <w:r>
        <w:t>Search results return minimal fields required by the workflow.</w:t>
      </w:r>
    </w:p>
    <w:p>
      <w:pPr>
        <w:pStyle w:val="ListBullet"/>
      </w:pPr>
      <w:r>
        <w:t>Do not use unrestricted wildcard database queries.</w:t>
      </w:r>
    </w:p>
    <w:p>
      <w:pPr>
        <w:pStyle w:val="ListBullet"/>
      </w:pPr>
      <w:r>
        <w:t>Search performance must be validated against representative patient volumes.</w:t>
      </w:r>
    </w:p>
    <w:p>
      <w:pPr>
        <w:pStyle w:val="Heading1"/>
      </w:pPr>
      <w:r>
        <w:t>19. Date, Time &amp; Timezone Rules</w:t>
      </w:r>
    </w:p>
    <w:p>
      <w:pPr>
        <w:pStyle w:val="ListBullet"/>
      </w:pPr>
      <w:r>
        <w:t>Persist timestamps in UTC.</w:t>
      </w:r>
    </w:p>
    <w:p>
      <w:pPr>
        <w:pStyle w:val="ListBullet"/>
      </w:pPr>
      <w:r>
        <w:t>Transmit timestamps as ISO 8601 with UTC semantics.</w:t>
      </w:r>
    </w:p>
    <w:p>
      <w:pPr>
        <w:pStyle w:val="ListBullet"/>
      </w:pPr>
      <w:r>
        <w:t>Appointment scheduling uses an explicit timezone context.</w:t>
      </w:r>
    </w:p>
    <w:p>
      <w:pPr>
        <w:pStyle w:val="ListBullet"/>
      </w:pPr>
      <w:r>
        <w:t>Do not rely on server-local timezone.</w:t>
      </w:r>
    </w:p>
    <w:p>
      <w:pPr>
        <w:pStyle w:val="ListBullet"/>
      </w:pPr>
      <w:r>
        <w:t>Display/localization belongs to the client/presentation layer unless explicitly required by an API contract.</w:t>
      </w:r>
    </w:p>
    <w:p>
      <w:pPr>
        <w:pStyle w:val="Heading1"/>
      </w:pPr>
      <w:r>
        <w:t>20. Patient API — Initial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Operation</w:t>
            </w:r>
          </w:p>
        </w:tc>
        <w:tc>
          <w:tcPr>
            <w:tcW w:type="dxa" w:w="2074"/>
          </w:tcPr>
          <w:p>
            <w:r>
              <w:t>Method</w:t>
            </w:r>
          </w:p>
        </w:tc>
        <w:tc>
          <w:tcPr>
            <w:tcW w:type="dxa" w:w="2074"/>
          </w:tcPr>
          <w:p>
            <w:r>
              <w:t>Endpoint</w:t>
            </w:r>
          </w:p>
        </w:tc>
        <w:tc>
          <w:tcPr>
            <w:tcW w:type="dxa" w:w="2074"/>
          </w:tcPr>
          <w:p>
            <w:r>
              <w:t>Auth</w:t>
            </w:r>
          </w:p>
        </w:tc>
        <w:tc>
          <w:tcPr>
            <w:tcW w:type="dxa" w:w="2074"/>
          </w:tcPr>
          <w:p>
            <w:r>
              <w:t>Notes</w:t>
            </w:r>
          </w:p>
        </w:tc>
      </w:tr>
      <w:tr>
        <w:tc>
          <w:tcPr>
            <w:tcW w:type="dxa" w:w="2074"/>
          </w:tcPr>
          <w:p>
            <w:r>
              <w:t>Create patient</w:t>
            </w:r>
          </w:p>
        </w:tc>
        <w:tc>
          <w:tcPr>
            <w:tcW w:type="dxa" w:w="2074"/>
          </w:tcPr>
          <w:p>
            <w:r>
              <w:t>POST</w:t>
            </w:r>
          </w:p>
        </w:tc>
        <w:tc>
          <w:tcPr>
            <w:tcW w:type="dxa" w:w="2074"/>
          </w:tcPr>
          <w:p>
            <w:r>
              <w:t>/api/v1/patients</w:t>
            </w:r>
          </w:p>
        </w:tc>
        <w:tc>
          <w:tcPr>
            <w:tcW w:type="dxa" w:w="2074"/>
          </w:tcPr>
          <w:p>
            <w:r>
              <w:t>Patient-create permission</w:t>
            </w:r>
          </w:p>
        </w:tc>
        <w:tc>
          <w:tcPr>
            <w:tcW w:type="dxa" w:w="2074"/>
          </w:tcPr>
          <w:p>
            <w:r>
              <w:t>Duplicate detection; idempotency recommended.</w:t>
            </w:r>
          </w:p>
        </w:tc>
      </w:tr>
      <w:tr>
        <w:tc>
          <w:tcPr>
            <w:tcW w:type="dxa" w:w="2074"/>
          </w:tcPr>
          <w:p>
            <w:r>
              <w:t>Get patient</w:t>
            </w:r>
          </w:p>
        </w:tc>
        <w:tc>
          <w:tcPr>
            <w:tcW w:type="dxa" w:w="2074"/>
          </w:tcPr>
          <w:p>
            <w:r>
              <w:t>GET</w:t>
            </w:r>
          </w:p>
        </w:tc>
        <w:tc>
          <w:tcPr>
            <w:tcW w:type="dxa" w:w="2074"/>
          </w:tcPr>
          <w:p>
            <w:r>
              <w:t>/api/v1/patients/{patientId}</w:t>
            </w:r>
          </w:p>
        </w:tc>
        <w:tc>
          <w:tcPr>
            <w:tcW w:type="dxa" w:w="2074"/>
          </w:tcPr>
          <w:p>
            <w:r>
              <w:t>Patient-read permission</w:t>
            </w:r>
          </w:p>
        </w:tc>
        <w:tc>
          <w:tcPr>
            <w:tcW w:type="dxa" w:w="2074"/>
          </w:tcPr>
          <w:p>
            <w:r>
              <w:t>Tenant/field authorization.</w:t>
            </w:r>
          </w:p>
        </w:tc>
      </w:tr>
      <w:tr>
        <w:tc>
          <w:tcPr>
            <w:tcW w:type="dxa" w:w="2074"/>
          </w:tcPr>
          <w:p>
            <w:r>
              <w:t>Update patient</w:t>
            </w:r>
          </w:p>
        </w:tc>
        <w:tc>
          <w:tcPr>
            <w:tcW w:type="dxa" w:w="2074"/>
          </w:tcPr>
          <w:p>
            <w:r>
              <w:t>PATCH</w:t>
            </w:r>
          </w:p>
        </w:tc>
        <w:tc>
          <w:tcPr>
            <w:tcW w:type="dxa" w:w="2074"/>
          </w:tcPr>
          <w:p>
            <w:r>
              <w:t>/api/v1/patients/{patientId}</w:t>
            </w:r>
          </w:p>
        </w:tc>
        <w:tc>
          <w:tcPr>
            <w:tcW w:type="dxa" w:w="2074"/>
          </w:tcPr>
          <w:p>
            <w:r>
              <w:t>Patient-update permission</w:t>
            </w:r>
          </w:p>
        </w:tc>
        <w:tc>
          <w:tcPr>
            <w:tcW w:type="dxa" w:w="2074"/>
          </w:tcPr>
          <w:p>
            <w:r>
              <w:t>Version check.</w:t>
            </w:r>
          </w:p>
        </w:tc>
      </w:tr>
      <w:tr>
        <w:tc>
          <w:tcPr>
            <w:tcW w:type="dxa" w:w="2074"/>
          </w:tcPr>
          <w:p>
            <w:r>
              <w:t>Search patients</w:t>
            </w:r>
          </w:p>
        </w:tc>
        <w:tc>
          <w:tcPr>
            <w:tcW w:type="dxa" w:w="2074"/>
          </w:tcPr>
          <w:p>
            <w:r>
              <w:t>GET</w:t>
            </w:r>
          </w:p>
        </w:tc>
        <w:tc>
          <w:tcPr>
            <w:tcW w:type="dxa" w:w="2074"/>
          </w:tcPr>
          <w:p>
            <w:r>
              <w:t>/api/v1/patients</w:t>
            </w:r>
          </w:p>
        </w:tc>
        <w:tc>
          <w:tcPr>
            <w:tcW w:type="dxa" w:w="2074"/>
          </w:tcPr>
          <w:p>
            <w:r>
              <w:t>Patient-read permission</w:t>
            </w:r>
          </w:p>
        </w:tc>
        <w:tc>
          <w:tcPr>
            <w:tcW w:type="dxa" w:w="2074"/>
          </w:tcPr>
          <w:p>
            <w:r>
              <w:t>Paginated/tenant-scoped.</w:t>
            </w:r>
          </w:p>
        </w:tc>
      </w:tr>
      <w:tr>
        <w:tc>
          <w:tcPr>
            <w:tcW w:type="dxa" w:w="2074"/>
          </w:tcPr>
          <w:p>
            <w:r>
              <w:t>Add contact</w:t>
            </w:r>
          </w:p>
        </w:tc>
        <w:tc>
          <w:tcPr>
            <w:tcW w:type="dxa" w:w="2074"/>
          </w:tcPr>
          <w:p>
            <w:r>
              <w:t>POST</w:t>
            </w:r>
          </w:p>
        </w:tc>
        <w:tc>
          <w:tcPr>
            <w:tcW w:type="dxa" w:w="2074"/>
          </w:tcPr>
          <w:p>
            <w:r>
              <w:t>/api/v1/patients/{patientId}/contacts</w:t>
            </w:r>
          </w:p>
        </w:tc>
        <w:tc>
          <w:tcPr>
            <w:tcW w:type="dxa" w:w="2074"/>
          </w:tcPr>
          <w:p>
            <w:r>
              <w:t>Patient-update permission</w:t>
            </w:r>
          </w:p>
        </w:tc>
        <w:tc>
          <w:tcPr>
            <w:tcW w:type="dxa" w:w="2074"/>
          </w:tcPr>
          <w:p>
            <w:r>
              <w:t>Validate/normalize.</w:t>
            </w:r>
          </w:p>
        </w:tc>
      </w:tr>
      <w:tr>
        <w:tc>
          <w:tcPr>
            <w:tcW w:type="dxa" w:w="2074"/>
          </w:tcPr>
          <w:p>
            <w:r>
              <w:t>Update contact</w:t>
            </w:r>
          </w:p>
        </w:tc>
        <w:tc>
          <w:tcPr>
            <w:tcW w:type="dxa" w:w="2074"/>
          </w:tcPr>
          <w:p>
            <w:r>
              <w:t>PATCH</w:t>
            </w:r>
          </w:p>
        </w:tc>
        <w:tc>
          <w:tcPr>
            <w:tcW w:type="dxa" w:w="2074"/>
          </w:tcPr>
          <w:p>
            <w:r>
              <w:t>/api/v1/patients/{patientId}/contacts/{contactId}</w:t>
            </w:r>
          </w:p>
        </w:tc>
        <w:tc>
          <w:tcPr>
            <w:tcW w:type="dxa" w:w="2074"/>
          </w:tcPr>
          <w:p>
            <w:r>
              <w:t>Patient-update permission</w:t>
            </w:r>
          </w:p>
        </w:tc>
        <w:tc>
          <w:tcPr>
            <w:tcW w:type="dxa" w:w="2074"/>
          </w:tcPr>
          <w:p>
            <w:r>
              <w:t>Audit.</w:t>
            </w:r>
          </w:p>
        </w:tc>
      </w:tr>
      <w:tr>
        <w:tc>
          <w:tcPr>
            <w:tcW w:type="dxa" w:w="2074"/>
          </w:tcPr>
          <w:p>
            <w:r>
              <w:t>Update preferences</w:t>
            </w:r>
          </w:p>
        </w:tc>
        <w:tc>
          <w:tcPr>
            <w:tcW w:type="dxa" w:w="2074"/>
          </w:tcPr>
          <w:p>
            <w:r>
              <w:t>PUT/PATCH</w:t>
            </w:r>
          </w:p>
        </w:tc>
        <w:tc>
          <w:tcPr>
            <w:tcW w:type="dxa" w:w="2074"/>
          </w:tcPr>
          <w:p>
            <w:r>
              <w:t>/api/v1/patients/{patientId}/preferences</w:t>
            </w:r>
          </w:p>
        </w:tc>
        <w:tc>
          <w:tcPr>
            <w:tcW w:type="dxa" w:w="2074"/>
          </w:tcPr>
          <w:p>
            <w:r>
              <w:t>Preference permission</w:t>
            </w:r>
          </w:p>
        </w:tc>
        <w:tc>
          <w:tcPr>
            <w:tcW w:type="dxa" w:w="2074"/>
          </w:tcPr>
          <w:p>
            <w:r>
              <w:t>Consent rules.</w:t>
            </w:r>
          </w:p>
        </w:tc>
      </w:tr>
      <w:tr>
        <w:tc>
          <w:tcPr>
            <w:tcW w:type="dxa" w:w="2074"/>
          </w:tcPr>
          <w:p>
            <w:r>
              <w:t>Archive patient</w:t>
            </w:r>
          </w:p>
        </w:tc>
        <w:tc>
          <w:tcPr>
            <w:tcW w:type="dxa" w:w="2074"/>
          </w:tcPr>
          <w:p>
            <w:r>
              <w:t>POST</w:t>
            </w:r>
          </w:p>
        </w:tc>
        <w:tc>
          <w:tcPr>
            <w:tcW w:type="dxa" w:w="2074"/>
          </w:tcPr>
          <w:p>
            <w:r>
              <w:t>/api/v1/patients/{patientId}/archive</w:t>
            </w:r>
          </w:p>
        </w:tc>
        <w:tc>
          <w:tcPr>
            <w:tcW w:type="dxa" w:w="2074"/>
          </w:tcPr>
          <w:p>
            <w:r>
              <w:t>Patient-admin permission</w:t>
            </w:r>
          </w:p>
        </w:tc>
        <w:tc>
          <w:tcPr>
            <w:tcW w:type="dxa" w:w="2074"/>
          </w:tcPr>
          <w:p>
            <w:r>
              <w:t>No destructive delete.</w:t>
            </w:r>
          </w:p>
        </w:tc>
      </w:tr>
    </w:tbl>
    <w:p>
      <w:pPr>
        <w:pStyle w:val="Heading1"/>
      </w:pPr>
      <w:r>
        <w:t>21. Appointment API — Initial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Operation</w:t>
            </w:r>
          </w:p>
        </w:tc>
        <w:tc>
          <w:tcPr>
            <w:tcW w:type="dxa" w:w="2074"/>
          </w:tcPr>
          <w:p>
            <w:r>
              <w:t>Method</w:t>
            </w:r>
          </w:p>
        </w:tc>
        <w:tc>
          <w:tcPr>
            <w:tcW w:type="dxa" w:w="2074"/>
          </w:tcPr>
          <w:p>
            <w:r>
              <w:t>Endpoint</w:t>
            </w:r>
          </w:p>
        </w:tc>
        <w:tc>
          <w:tcPr>
            <w:tcW w:type="dxa" w:w="2074"/>
          </w:tcPr>
          <w:p>
            <w:r>
              <w:t>Auth</w:t>
            </w:r>
          </w:p>
        </w:tc>
        <w:tc>
          <w:tcPr>
            <w:tcW w:type="dxa" w:w="2074"/>
          </w:tcPr>
          <w:p>
            <w:r>
              <w:t>Notes</w:t>
            </w:r>
          </w:p>
        </w:tc>
      </w:tr>
      <w:tr>
        <w:tc>
          <w:tcPr>
            <w:tcW w:type="dxa" w:w="2074"/>
          </w:tcPr>
          <w:p>
            <w:r>
              <w:t>Create appointment</w:t>
            </w:r>
          </w:p>
        </w:tc>
        <w:tc>
          <w:tcPr>
            <w:tcW w:type="dxa" w:w="2074"/>
          </w:tcPr>
          <w:p>
            <w:r>
              <w:t>POST</w:t>
            </w:r>
          </w:p>
        </w:tc>
        <w:tc>
          <w:tcPr>
            <w:tcW w:type="dxa" w:w="2074"/>
          </w:tcPr>
          <w:p>
            <w:r>
              <w:t>/api/v1/appointments</w:t>
            </w:r>
          </w:p>
        </w:tc>
        <w:tc>
          <w:tcPr>
            <w:tcW w:type="dxa" w:w="2074"/>
          </w:tcPr>
          <w:p>
            <w:r>
              <w:t>Appointment-create</w:t>
            </w:r>
          </w:p>
        </w:tc>
        <w:tc>
          <w:tcPr>
            <w:tcW w:type="dxa" w:w="2074"/>
          </w:tcPr>
          <w:p>
            <w:r>
              <w:t>Atomic appointment + history + audit + outbox.</w:t>
            </w:r>
          </w:p>
        </w:tc>
      </w:tr>
      <w:tr>
        <w:tc>
          <w:tcPr>
            <w:tcW w:type="dxa" w:w="2074"/>
          </w:tcPr>
          <w:p>
            <w:r>
              <w:t>Get appointment</w:t>
            </w:r>
          </w:p>
        </w:tc>
        <w:tc>
          <w:tcPr>
            <w:tcW w:type="dxa" w:w="2074"/>
          </w:tcPr>
          <w:p>
            <w:r>
              <w:t>GET</w:t>
            </w:r>
          </w:p>
        </w:tc>
        <w:tc>
          <w:tcPr>
            <w:tcW w:type="dxa" w:w="2074"/>
          </w:tcPr>
          <w:p>
            <w:r>
              <w:t>/api/v1/appointments/{appointmentId}</w:t>
            </w:r>
          </w:p>
        </w:tc>
        <w:tc>
          <w:tcPr>
            <w:tcW w:type="dxa" w:w="2074"/>
          </w:tcPr>
          <w:p>
            <w:r>
              <w:t>Appointment-read</w:t>
            </w:r>
          </w:p>
        </w:tc>
        <w:tc>
          <w:tcPr>
            <w:tcW w:type="dxa" w:w="2074"/>
          </w:tcPr>
          <w:p>
            <w:r>
              <w:t>Tenant/RBAC.</w:t>
            </w:r>
          </w:p>
        </w:tc>
      </w:tr>
      <w:tr>
        <w:tc>
          <w:tcPr>
            <w:tcW w:type="dxa" w:w="2074"/>
          </w:tcPr>
          <w:p>
            <w:r>
              <w:t>Search/list appointments</w:t>
            </w:r>
          </w:p>
        </w:tc>
        <w:tc>
          <w:tcPr>
            <w:tcW w:type="dxa" w:w="2074"/>
          </w:tcPr>
          <w:p>
            <w:r>
              <w:t>GET</w:t>
            </w:r>
          </w:p>
        </w:tc>
        <w:tc>
          <w:tcPr>
            <w:tcW w:type="dxa" w:w="2074"/>
          </w:tcPr>
          <w:p>
            <w:r>
              <w:t>/api/v1/appointments</w:t>
            </w:r>
          </w:p>
        </w:tc>
        <w:tc>
          <w:tcPr>
            <w:tcW w:type="dxa" w:w="2074"/>
          </w:tcPr>
          <w:p>
            <w:r>
              <w:t>Appointment-read</w:t>
            </w:r>
          </w:p>
        </w:tc>
        <w:tc>
          <w:tcPr>
            <w:tcW w:type="dxa" w:w="2074"/>
          </w:tcPr>
          <w:p>
            <w:r>
              <w:t>Calendar filters/pagination.</w:t>
            </w:r>
          </w:p>
        </w:tc>
      </w:tr>
      <w:tr>
        <w:tc>
          <w:tcPr>
            <w:tcW w:type="dxa" w:w="2074"/>
          </w:tcPr>
          <w:p>
            <w:r>
              <w:t>Confirm</w:t>
            </w:r>
          </w:p>
        </w:tc>
        <w:tc>
          <w:tcPr>
            <w:tcW w:type="dxa" w:w="2074"/>
          </w:tcPr>
          <w:p>
            <w:r>
              <w:t>POST</w:t>
            </w:r>
          </w:p>
        </w:tc>
        <w:tc>
          <w:tcPr>
            <w:tcW w:type="dxa" w:w="2074"/>
          </w:tcPr>
          <w:p>
            <w:r>
              <w:t>/api/v1/appointments/{appointmentId}/confirm</w:t>
            </w:r>
          </w:p>
        </w:tc>
        <w:tc>
          <w:tcPr>
            <w:tcW w:type="dxa" w:w="2074"/>
          </w:tcPr>
          <w:p>
            <w:r>
              <w:t>Appointment-confirm</w:t>
            </w:r>
          </w:p>
        </w:tc>
        <w:tc>
          <w:tcPr>
            <w:tcW w:type="dxa" w:w="2074"/>
          </w:tcPr>
          <w:p>
            <w:r>
              <w:t>State transition.</w:t>
            </w:r>
          </w:p>
        </w:tc>
      </w:tr>
      <w:tr>
        <w:tc>
          <w:tcPr>
            <w:tcW w:type="dxa" w:w="2074"/>
          </w:tcPr>
          <w:p>
            <w:r>
              <w:t>Reschedule</w:t>
            </w:r>
          </w:p>
        </w:tc>
        <w:tc>
          <w:tcPr>
            <w:tcW w:type="dxa" w:w="2074"/>
          </w:tcPr>
          <w:p>
            <w:r>
              <w:t>POST</w:t>
            </w:r>
          </w:p>
        </w:tc>
        <w:tc>
          <w:tcPr>
            <w:tcW w:type="dxa" w:w="2074"/>
          </w:tcPr>
          <w:p>
            <w:r>
              <w:t>/api/v1/appointments/{appointmentId}/reschedule</w:t>
            </w:r>
          </w:p>
        </w:tc>
        <w:tc>
          <w:tcPr>
            <w:tcW w:type="dxa" w:w="2074"/>
          </w:tcPr>
          <w:p>
            <w:r>
              <w:t>Appointment-reschedule</w:t>
            </w:r>
          </w:p>
        </w:tc>
        <w:tc>
          <w:tcPr>
            <w:tcW w:type="dxa" w:w="2074"/>
          </w:tcPr>
          <w:p>
            <w:r>
              <w:t>Conflict + concurrency.</w:t>
            </w:r>
          </w:p>
        </w:tc>
      </w:tr>
      <w:tr>
        <w:tc>
          <w:tcPr>
            <w:tcW w:type="dxa" w:w="2074"/>
          </w:tcPr>
          <w:p>
            <w:r>
              <w:t>Cancel</w:t>
            </w:r>
          </w:p>
        </w:tc>
        <w:tc>
          <w:tcPr>
            <w:tcW w:type="dxa" w:w="2074"/>
          </w:tcPr>
          <w:p>
            <w:r>
              <w:t>POST</w:t>
            </w:r>
          </w:p>
        </w:tc>
        <w:tc>
          <w:tcPr>
            <w:tcW w:type="dxa" w:w="2074"/>
          </w:tcPr>
          <w:p>
            <w:r>
              <w:t>/api/v1/appointments/{appointmentId}/cancel</w:t>
            </w:r>
          </w:p>
        </w:tc>
        <w:tc>
          <w:tcPr>
            <w:tcW w:type="dxa" w:w="2074"/>
          </w:tcPr>
          <w:p>
            <w:r>
              <w:t>Appointment-cancel</w:t>
            </w:r>
          </w:p>
        </w:tc>
        <w:tc>
          <w:tcPr>
            <w:tcW w:type="dxa" w:w="2074"/>
          </w:tcPr>
          <w:p>
            <w:r>
              <w:t>Reason/history.</w:t>
            </w:r>
          </w:p>
        </w:tc>
      </w:tr>
      <w:tr>
        <w:tc>
          <w:tcPr>
            <w:tcW w:type="dxa" w:w="2074"/>
          </w:tcPr>
          <w:p>
            <w:r>
              <w:t>Check in</w:t>
            </w:r>
          </w:p>
        </w:tc>
        <w:tc>
          <w:tcPr>
            <w:tcW w:type="dxa" w:w="2074"/>
          </w:tcPr>
          <w:p>
            <w:r>
              <w:t>POST</w:t>
            </w:r>
          </w:p>
        </w:tc>
        <w:tc>
          <w:tcPr>
            <w:tcW w:type="dxa" w:w="2074"/>
          </w:tcPr>
          <w:p>
            <w:r>
              <w:t>/api/v1/appointments/{appointmentId}/check-in</w:t>
            </w:r>
          </w:p>
        </w:tc>
        <w:tc>
          <w:tcPr>
            <w:tcW w:type="dxa" w:w="2074"/>
          </w:tcPr>
          <w:p>
            <w:r>
              <w:t>Appointment-check-in</w:t>
            </w:r>
          </w:p>
        </w:tc>
        <w:tc>
          <w:tcPr>
            <w:tcW w:type="dxa" w:w="2074"/>
          </w:tcPr>
          <w:p>
            <w:r>
              <w:t>State transition.</w:t>
            </w:r>
          </w:p>
        </w:tc>
      </w:tr>
      <w:tr>
        <w:tc>
          <w:tcPr>
            <w:tcW w:type="dxa" w:w="2074"/>
          </w:tcPr>
          <w:p>
            <w:r>
              <w:t>Start</w:t>
            </w:r>
          </w:p>
        </w:tc>
        <w:tc>
          <w:tcPr>
            <w:tcW w:type="dxa" w:w="2074"/>
          </w:tcPr>
          <w:p>
            <w:r>
              <w:t>POST</w:t>
            </w:r>
          </w:p>
        </w:tc>
        <w:tc>
          <w:tcPr>
            <w:tcW w:type="dxa" w:w="2074"/>
          </w:tcPr>
          <w:p>
            <w:r>
              <w:t>/api/v1/appointments/{appointmentId}/start</w:t>
            </w:r>
          </w:p>
        </w:tc>
        <w:tc>
          <w:tcPr>
            <w:tcW w:type="dxa" w:w="2074"/>
          </w:tcPr>
          <w:p>
            <w:r>
              <w:t>Appointment-start</w:t>
            </w:r>
          </w:p>
        </w:tc>
        <w:tc>
          <w:tcPr>
            <w:tcW w:type="dxa" w:w="2074"/>
          </w:tcPr>
          <w:p>
            <w:r>
              <w:t>State transition.</w:t>
            </w:r>
          </w:p>
        </w:tc>
      </w:tr>
      <w:tr>
        <w:tc>
          <w:tcPr>
            <w:tcW w:type="dxa" w:w="2074"/>
          </w:tcPr>
          <w:p>
            <w:r>
              <w:t>Complete</w:t>
            </w:r>
          </w:p>
        </w:tc>
        <w:tc>
          <w:tcPr>
            <w:tcW w:type="dxa" w:w="2074"/>
          </w:tcPr>
          <w:p>
            <w:r>
              <w:t>POST</w:t>
            </w:r>
          </w:p>
        </w:tc>
        <w:tc>
          <w:tcPr>
            <w:tcW w:type="dxa" w:w="2074"/>
          </w:tcPr>
          <w:p>
            <w:r>
              <w:t>/api/v1/appointments/{appointmentId}/complete</w:t>
            </w:r>
          </w:p>
        </w:tc>
        <w:tc>
          <w:tcPr>
            <w:tcW w:type="dxa" w:w="2074"/>
          </w:tcPr>
          <w:p>
            <w:r>
              <w:t>Appointment-complete</w:t>
            </w:r>
          </w:p>
        </w:tc>
        <w:tc>
          <w:tcPr>
            <w:tcW w:type="dxa" w:w="2074"/>
          </w:tcPr>
          <w:p>
            <w:r>
              <w:t>State transition.</w:t>
            </w:r>
          </w:p>
        </w:tc>
      </w:tr>
      <w:tr>
        <w:tc>
          <w:tcPr>
            <w:tcW w:type="dxa" w:w="2074"/>
          </w:tcPr>
          <w:p>
            <w:r>
              <w:t>No-show</w:t>
            </w:r>
          </w:p>
        </w:tc>
        <w:tc>
          <w:tcPr>
            <w:tcW w:type="dxa" w:w="2074"/>
          </w:tcPr>
          <w:p>
            <w:r>
              <w:t>POST</w:t>
            </w:r>
          </w:p>
        </w:tc>
        <w:tc>
          <w:tcPr>
            <w:tcW w:type="dxa" w:w="2074"/>
          </w:tcPr>
          <w:p>
            <w:r>
              <w:t>/api/v1/appointments/{appointmentId}/no-show</w:t>
            </w:r>
          </w:p>
        </w:tc>
        <w:tc>
          <w:tcPr>
            <w:tcW w:type="dxa" w:w="2074"/>
          </w:tcPr>
          <w:p>
            <w:r>
              <w:t>Appointment-no-show</w:t>
            </w:r>
          </w:p>
        </w:tc>
        <w:tc>
          <w:tcPr>
            <w:tcW w:type="dxa" w:w="2074"/>
          </w:tcPr>
          <w:p>
            <w:r>
              <w:t>State transition.</w:t>
            </w:r>
          </w:p>
        </w:tc>
      </w:tr>
    </w:tbl>
    <w:p>
      <w:pPr>
        <w:pStyle w:val="Heading1"/>
      </w:pPr>
      <w:r>
        <w:t>22. Appointment Command Transaction Contract</w:t>
      </w:r>
    </w:p>
    <w:p>
      <w:r>
        <w:rPr>
          <w:b/>
        </w:rPr>
        <w:t>Create/Confirm/Reschedule/Cancel and other required mutations:</w:t>
      </w:r>
    </w:p>
    <w:p>
      <w:r>
        <w:rPr>
          <w:b/>
        </w:rPr>
        <w:t>API → Application Service → ONE DB TRANSACTION → Appointment + History + Audit + Outbox → COMMIT → Response</w:t>
      </w:r>
    </w:p>
    <w:p>
      <w:pPr>
        <w:pStyle w:val="ListBullet"/>
      </w:pPr>
      <w:r>
        <w:t>Provider calls never occur inside the transaction.</w:t>
      </w:r>
    </w:p>
    <w:p>
      <w:pPr>
        <w:pStyle w:val="ListBullet"/>
      </w:pPr>
      <w:r>
        <w:t>Notification delivery is asynchronous.</w:t>
      </w:r>
    </w:p>
    <w:p>
      <w:pPr>
        <w:pStyle w:val="ListBullet"/>
      </w:pPr>
      <w:r>
        <w:t>Transaction rollback means no committed business mutation and no committed required outbox intent.</w:t>
      </w:r>
    </w:p>
    <w:p>
      <w:pPr>
        <w:pStyle w:val="ListBullet"/>
      </w:pPr>
      <w:r>
        <w:t>Transaction commit means notification intent is durable even if provider delivery later fails.</w:t>
      </w:r>
    </w:p>
    <w:p>
      <w:pPr>
        <w:pStyle w:val="Heading1"/>
      </w:pPr>
      <w:r>
        <w:t>23. Notification/Admin API Boundary</w:t>
      </w:r>
    </w:p>
    <w:p>
      <w:pPr>
        <w:pStyle w:val="ListBullet"/>
      </w:pPr>
      <w:r>
        <w:t>Notification delivery is primarily worker/internal infrastructure.</w:t>
      </w:r>
    </w:p>
    <w:p>
      <w:pPr>
        <w:pStyle w:val="ListBullet"/>
      </w:pPr>
      <w:r>
        <w:t>Administrative APIs may expose notification status for authorized support/administration.</w:t>
      </w:r>
    </w:p>
    <w:p>
      <w:pPr>
        <w:pStyle w:val="ListBullet"/>
      </w:pPr>
      <w:r>
        <w:t>Provider credentials are never accepted through ordinary public notification endpoints.</w:t>
      </w:r>
    </w:p>
    <w:p>
      <w:pPr>
        <w:pStyle w:val="ListBullet"/>
      </w:pPr>
      <w:r>
        <w:t>Retry/replay controls are privileged and audited.</w:t>
      </w:r>
    </w:p>
    <w:p>
      <w:pPr>
        <w:pStyle w:val="ListBullet"/>
      </w:pPr>
      <w:r>
        <w:t>Notification status must not be exposed as if it were appointment status.</w:t>
      </w:r>
    </w:p>
    <w:p>
      <w:pPr>
        <w:pStyle w:val="Heading1"/>
      </w:pPr>
      <w:r>
        <w:t>24. Authentication &amp; Authorization Model</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Actor</w:t>
            </w:r>
          </w:p>
        </w:tc>
        <w:tc>
          <w:tcPr>
            <w:tcW w:type="dxa" w:w="2592"/>
          </w:tcPr>
          <w:p>
            <w:r>
              <w:t>Authentication</w:t>
            </w:r>
          </w:p>
        </w:tc>
        <w:tc>
          <w:tcPr>
            <w:tcW w:type="dxa" w:w="2592"/>
          </w:tcPr>
          <w:p>
            <w:r>
              <w:t>Authorization</w:t>
            </w:r>
          </w:p>
        </w:tc>
        <w:tc>
          <w:tcPr>
            <w:tcW w:type="dxa" w:w="2592"/>
          </w:tcPr>
          <w:p>
            <w:r>
              <w:t>Examples</w:t>
            </w:r>
          </w:p>
        </w:tc>
      </w:tr>
      <w:tr>
        <w:tc>
          <w:tcPr>
            <w:tcW w:type="dxa" w:w="2592"/>
          </w:tcPr>
          <w:p>
            <w:r>
              <w:t>Patient</w:t>
            </w:r>
          </w:p>
        </w:tc>
        <w:tc>
          <w:tcPr>
            <w:tcW w:type="dxa" w:w="2592"/>
          </w:tcPr>
          <w:p>
            <w:r>
              <w:t>Approved user/session identity</w:t>
            </w:r>
          </w:p>
        </w:tc>
        <w:tc>
          <w:tcPr>
            <w:tcW w:type="dxa" w:w="2592"/>
          </w:tcPr>
          <w:p>
            <w:r>
              <w:t>Own-record policy</w:t>
            </w:r>
          </w:p>
        </w:tc>
        <w:tc>
          <w:tcPr>
            <w:tcW w:type="dxa" w:w="2592"/>
          </w:tcPr>
          <w:p>
            <w:r>
              <w:t>Profile/appointment view</w:t>
            </w:r>
          </w:p>
        </w:tc>
      </w:tr>
      <w:tr>
        <w:tc>
          <w:tcPr>
            <w:tcW w:type="dxa" w:w="2592"/>
          </w:tcPr>
          <w:p>
            <w:r>
              <w:t>Practitioner</w:t>
            </w:r>
          </w:p>
        </w:tc>
        <w:tc>
          <w:tcPr>
            <w:tcW w:type="dxa" w:w="2592"/>
          </w:tcPr>
          <w:p>
            <w:r>
              <w:t>Authenticated staff identity</w:t>
            </w:r>
          </w:p>
        </w:tc>
        <w:tc>
          <w:tcPr>
            <w:tcW w:type="dxa" w:w="2592"/>
          </w:tcPr>
          <w:p>
            <w:r>
              <w:t>Role + organization + permitted branch/patient scope</w:t>
            </w:r>
          </w:p>
        </w:tc>
        <w:tc>
          <w:tcPr>
            <w:tcW w:type="dxa" w:w="2592"/>
          </w:tcPr>
          <w:p>
            <w:r>
              <w:t>Patient/appointment management</w:t>
            </w:r>
          </w:p>
        </w:tc>
      </w:tr>
      <w:tr>
        <w:tc>
          <w:tcPr>
            <w:tcW w:type="dxa" w:w="2592"/>
          </w:tcPr>
          <w:p>
            <w:r>
              <w:t>Reception/Staff</w:t>
            </w:r>
          </w:p>
        </w:tc>
        <w:tc>
          <w:tcPr>
            <w:tcW w:type="dxa" w:w="2592"/>
          </w:tcPr>
          <w:p>
            <w:r>
              <w:t>Authenticated staff identity</w:t>
            </w:r>
          </w:p>
        </w:tc>
        <w:tc>
          <w:tcPr>
            <w:tcW w:type="dxa" w:w="2592"/>
          </w:tcPr>
          <w:p>
            <w:r>
              <w:t>Role + organization + operational scope</w:t>
            </w:r>
          </w:p>
        </w:tc>
        <w:tc>
          <w:tcPr>
            <w:tcW w:type="dxa" w:w="2592"/>
          </w:tcPr>
          <w:p>
            <w:r>
              <w:t>Registration/scheduling</w:t>
            </w:r>
          </w:p>
        </w:tc>
      </w:tr>
      <w:tr>
        <w:tc>
          <w:tcPr>
            <w:tcW w:type="dxa" w:w="2592"/>
          </w:tcPr>
          <w:p>
            <w:r>
              <w:t>Administrator</w:t>
            </w:r>
          </w:p>
        </w:tc>
        <w:tc>
          <w:tcPr>
            <w:tcW w:type="dxa" w:w="2592"/>
          </w:tcPr>
          <w:p>
            <w:r>
              <w:t>Authenticated elevated identity</w:t>
            </w:r>
          </w:p>
        </w:tc>
        <w:tc>
          <w:tcPr>
            <w:tcW w:type="dxa" w:w="2592"/>
          </w:tcPr>
          <w:p>
            <w:r>
              <w:t>Admin policy + organization/platform scope</w:t>
            </w:r>
          </w:p>
        </w:tc>
        <w:tc>
          <w:tcPr>
            <w:tcW w:type="dxa" w:w="2592"/>
          </w:tcPr>
          <w:p>
            <w:r>
              <w:t>Configuration/merge</w:t>
            </w:r>
          </w:p>
        </w:tc>
      </w:tr>
      <w:tr>
        <w:tc>
          <w:tcPr>
            <w:tcW w:type="dxa" w:w="2592"/>
          </w:tcPr>
          <w:p>
            <w:r>
              <w:t>Worker</w:t>
            </w:r>
          </w:p>
        </w:tc>
        <w:tc>
          <w:tcPr>
            <w:tcW w:type="dxa" w:w="2592"/>
          </w:tcPr>
          <w:p>
            <w:r>
              <w:t>Service identity</w:t>
            </w:r>
          </w:p>
        </w:tc>
        <w:tc>
          <w:tcPr>
            <w:tcW w:type="dxa" w:w="2592"/>
          </w:tcPr>
          <w:p>
            <w:r>
              <w:t>Internal workload permission</w:t>
            </w:r>
          </w:p>
        </w:tc>
        <w:tc>
          <w:tcPr>
            <w:tcW w:type="dxa" w:w="2592"/>
          </w:tcPr>
          <w:p>
            <w:r>
              <w:t>Notification dispatch</w:t>
            </w:r>
          </w:p>
        </w:tc>
      </w:tr>
    </w:tbl>
    <w:p>
      <w:pPr>
        <w:pStyle w:val="Heading1"/>
      </w:pPr>
      <w:r>
        <w:t>25. Audit &amp; Observability</w:t>
      </w:r>
    </w:p>
    <w:p>
      <w:pPr>
        <w:pStyle w:val="ListBullet"/>
      </w:pPr>
      <w:r>
        <w:t>Generate/propagate correlation ID per request.</w:t>
      </w:r>
    </w:p>
    <w:p>
      <w:pPr>
        <w:pStyle w:val="ListBullet"/>
      </w:pPr>
      <w:r>
        <w:t>Log request start/end, endpoint, result category and latency without sensitive payloads.</w:t>
      </w:r>
    </w:p>
    <w:p>
      <w:pPr>
        <w:pStyle w:val="ListBullet"/>
      </w:pPr>
      <w:r>
        <w:t>Record actor and tenant context in structured logs where appropriate.</w:t>
      </w:r>
    </w:p>
    <w:p>
      <w:pPr>
        <w:pStyle w:val="ListBullet"/>
      </w:pPr>
      <w:r>
        <w:t>Audit business mutations through the approved audit mechanism, not merely application logs.</w:t>
      </w:r>
    </w:p>
    <w:p>
      <w:pPr>
        <w:pStyle w:val="ListBullet"/>
      </w:pPr>
      <w:r>
        <w:t>Metrics should include request rate, error rate, latency, validation failures, authorization failures and dependency failures.</w:t>
      </w:r>
    </w:p>
    <w:p>
      <w:pPr>
        <w:pStyle w:val="Heading1"/>
      </w:pPr>
      <w:r>
        <w:t>26. Rate Limiting &amp; Abuse Controls</w:t>
      </w:r>
    </w:p>
    <w:p>
      <w:pPr>
        <w:pStyle w:val="ListBullet"/>
      </w:pPr>
      <w:r>
        <w:t>Rate limits are applied according to endpoint risk and deployment architecture.</w:t>
      </w:r>
    </w:p>
    <w:p>
      <w:pPr>
        <w:pStyle w:val="ListBullet"/>
      </w:pPr>
      <w:r>
        <w:t>Authentication, patient search, patient registration and public-facing endpoints may require stricter limits.</w:t>
      </w:r>
    </w:p>
    <w:p>
      <w:pPr>
        <w:pStyle w:val="ListBullet"/>
      </w:pPr>
      <w:r>
        <w:t>Do not reveal sensitive information through rate-limit responses.</w:t>
      </w:r>
    </w:p>
    <w:p>
      <w:pPr>
        <w:pStyle w:val="ListBullet"/>
      </w:pPr>
      <w:r>
        <w:t>Repeated abuse should be observable and alertable.</w:t>
      </w:r>
    </w:p>
    <w:p>
      <w:pPr>
        <w:pStyle w:val="Heading1"/>
      </w:pPr>
      <w:r>
        <w:t>27. Security Requirements</w:t>
      </w:r>
    </w:p>
    <w:p>
      <w:pPr>
        <w:pStyle w:val="ListBullet"/>
      </w:pPr>
      <w:r>
        <w:t>HTTPS/TLS is mandatory in production.</w:t>
      </w:r>
    </w:p>
    <w:p>
      <w:pPr>
        <w:pStyle w:val="ListBullet"/>
      </w:pPr>
      <w:r>
        <w:t>Input validation and output encoding are mandatory.</w:t>
      </w:r>
    </w:p>
    <w:p>
      <w:pPr>
        <w:pStyle w:val="ListBullet"/>
      </w:pPr>
      <w:r>
        <w:t>Prevent SQL injection through parameterized data access.</w:t>
      </w:r>
    </w:p>
    <w:p>
      <w:pPr>
        <w:pStyle w:val="ListBullet"/>
      </w:pPr>
      <w:r>
        <w:t>Prevent broken object-level authorization (BOLA/IDOR) through server-side resource authorization.</w:t>
      </w:r>
    </w:p>
    <w:p>
      <w:pPr>
        <w:pStyle w:val="ListBullet"/>
      </w:pPr>
      <w:r>
        <w:t>Protect against mass assignment by explicit DTO/field allowlists.</w:t>
      </w:r>
    </w:p>
    <w:p>
      <w:pPr>
        <w:pStyle w:val="ListBullet"/>
      </w:pPr>
      <w:r>
        <w:t>Do not return secrets, tokens, internal stack traces or raw provider errors.</w:t>
      </w:r>
    </w:p>
    <w:p>
      <w:pPr>
        <w:pStyle w:val="ListBullet"/>
      </w:pPr>
      <w:r>
        <w:t>Security headers and deployment-level protections follow the Security &amp; Privacy volume.</w:t>
      </w:r>
    </w:p>
    <w:p>
      <w:pPr>
        <w:pStyle w:val="Heading1"/>
      </w:pPr>
      <w:r>
        <w:t>28. API Documentation &amp; Contract Testing</w:t>
      </w:r>
    </w:p>
    <w:p>
      <w:pPr>
        <w:pStyle w:val="ListBullet"/>
      </w:pPr>
      <w:r>
        <w:t>OpenAPI should be the machine-readable API contract.</w:t>
      </w:r>
    </w:p>
    <w:p>
      <w:pPr>
        <w:pStyle w:val="ListBullet"/>
      </w:pPr>
      <w:r>
        <w:t>Every endpoint documents parameters, request body, responses, errors and authorization requirements.</w:t>
      </w:r>
    </w:p>
    <w:p>
      <w:pPr>
        <w:pStyle w:val="ListBullet"/>
      </w:pPr>
      <w:r>
        <w:t>Breaking changes require contract review.</w:t>
      </w:r>
    </w:p>
    <w:p>
      <w:pPr>
        <w:pStyle w:val="ListBullet"/>
      </w:pPr>
      <w:r>
        <w:t>Contract tests verify implementation matches OpenAPI.</w:t>
      </w:r>
    </w:p>
    <w:p>
      <w:pPr>
        <w:pStyle w:val="ListBullet"/>
      </w:pPr>
      <w:r>
        <w:t>Generated client/server artifacts must not become an uncontrolled source of truth; the approved API specification remains authoritative.</w:t>
      </w:r>
    </w:p>
    <w:p>
      <w:pPr>
        <w:pStyle w:val="Heading1"/>
      </w:pPr>
      <w:r>
        <w:t>29. API Versioning &amp; Deprecation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Change</w:t>
            </w:r>
          </w:p>
        </w:tc>
        <w:tc>
          <w:tcPr>
            <w:tcW w:type="dxa" w:w="2592"/>
          </w:tcPr>
          <w:p>
            <w:r>
              <w:t>Classification</w:t>
            </w:r>
          </w:p>
        </w:tc>
        <w:tc>
          <w:tcPr>
            <w:tcW w:type="dxa" w:w="2592"/>
          </w:tcPr>
          <w:p>
            <w:r>
              <w:t>Action</w:t>
            </w:r>
          </w:p>
        </w:tc>
        <w:tc>
          <w:tcPr>
            <w:tcW w:type="dxa" w:w="2592"/>
          </w:tcPr>
          <w:p>
            <w:r>
              <w:t>Example</w:t>
            </w:r>
          </w:p>
        </w:tc>
      </w:tr>
      <w:tr>
        <w:tc>
          <w:tcPr>
            <w:tcW w:type="dxa" w:w="2592"/>
          </w:tcPr>
          <w:p>
            <w:r>
              <w:t>Add optional response field</w:t>
            </w:r>
          </w:p>
        </w:tc>
        <w:tc>
          <w:tcPr>
            <w:tcW w:type="dxa" w:w="2592"/>
          </w:tcPr>
          <w:p>
            <w:r>
              <w:t>Non-breaking</w:t>
            </w:r>
          </w:p>
        </w:tc>
        <w:tc>
          <w:tcPr>
            <w:tcW w:type="dxa" w:w="2592"/>
          </w:tcPr>
          <w:p>
            <w:r>
              <w:t>Same major version</w:t>
            </w:r>
          </w:p>
        </w:tc>
        <w:tc>
          <w:tcPr>
            <w:tcW w:type="dxa" w:w="2592"/>
          </w:tcPr>
          <w:p>
            <w:r>
              <w:t>Add metadata.</w:t>
            </w:r>
          </w:p>
        </w:tc>
      </w:tr>
      <w:tr>
        <w:tc>
          <w:tcPr>
            <w:tcW w:type="dxa" w:w="2592"/>
          </w:tcPr>
          <w:p>
            <w:r>
              <w:t>Add optional request field</w:t>
            </w:r>
          </w:p>
        </w:tc>
        <w:tc>
          <w:tcPr>
            <w:tcW w:type="dxa" w:w="2592"/>
          </w:tcPr>
          <w:p>
            <w:r>
              <w:t>Non-breaking</w:t>
            </w:r>
          </w:p>
        </w:tc>
        <w:tc>
          <w:tcPr>
            <w:tcW w:type="dxa" w:w="2592"/>
          </w:tcPr>
          <w:p>
            <w:r>
              <w:t>Same major version</w:t>
            </w:r>
          </w:p>
        </w:tc>
        <w:tc>
          <w:tcPr>
            <w:tcW w:type="dxa" w:w="2592"/>
          </w:tcPr>
          <w:p>
            <w:r>
              <w:t>New filter.</w:t>
            </w:r>
          </w:p>
        </w:tc>
      </w:tr>
      <w:tr>
        <w:tc>
          <w:tcPr>
            <w:tcW w:type="dxa" w:w="2592"/>
          </w:tcPr>
          <w:p>
            <w:r>
              <w:t>Remove/rename field</w:t>
            </w:r>
          </w:p>
        </w:tc>
        <w:tc>
          <w:tcPr>
            <w:tcW w:type="dxa" w:w="2592"/>
          </w:tcPr>
          <w:p>
            <w:r>
              <w:t>Breaking</w:t>
            </w:r>
          </w:p>
        </w:tc>
        <w:tc>
          <w:tcPr>
            <w:tcW w:type="dxa" w:w="2592"/>
          </w:tcPr>
          <w:p>
            <w:r>
              <w:t>New major version or compatibility period</w:t>
            </w:r>
          </w:p>
        </w:tc>
        <w:tc>
          <w:tcPr>
            <w:tcW w:type="dxa" w:w="2592"/>
          </w:tcPr>
          <w:p>
            <w:r>
              <w:t>patientName → name.</w:t>
            </w:r>
          </w:p>
        </w:tc>
      </w:tr>
      <w:tr>
        <w:tc>
          <w:tcPr>
            <w:tcW w:type="dxa" w:w="2592"/>
          </w:tcPr>
          <w:p>
            <w:r>
              <w:t>Change state semantics</w:t>
            </w:r>
          </w:p>
        </w:tc>
        <w:tc>
          <w:tcPr>
            <w:tcW w:type="dxa" w:w="2592"/>
          </w:tcPr>
          <w:p>
            <w:r>
              <w:t>Breaking</w:t>
            </w:r>
          </w:p>
        </w:tc>
        <w:tc>
          <w:tcPr>
            <w:tcW w:type="dxa" w:w="2592"/>
          </w:tcPr>
          <w:p>
            <w:r>
              <w:t>Domain/API review + version strategy</w:t>
            </w:r>
          </w:p>
        </w:tc>
        <w:tc>
          <w:tcPr>
            <w:tcW w:type="dxa" w:w="2592"/>
          </w:tcPr>
          <w:p>
            <w:r>
              <w:t>Appointment lifecycle.</w:t>
            </w:r>
          </w:p>
        </w:tc>
      </w:tr>
      <w:tr>
        <w:tc>
          <w:tcPr>
            <w:tcW w:type="dxa" w:w="2592"/>
          </w:tcPr>
          <w:p>
            <w:r>
              <w:t>Change auth requirement</w:t>
            </w:r>
          </w:p>
        </w:tc>
        <w:tc>
          <w:tcPr>
            <w:tcW w:type="dxa" w:w="2592"/>
          </w:tcPr>
          <w:p>
            <w:r>
              <w:t>Potentially breaking</w:t>
            </w:r>
          </w:p>
        </w:tc>
        <w:tc>
          <w:tcPr>
            <w:tcW w:type="dxa" w:w="2592"/>
          </w:tcPr>
          <w:p>
            <w:r>
              <w:t>Security/change review</w:t>
            </w:r>
          </w:p>
        </w:tc>
        <w:tc>
          <w:tcPr>
            <w:tcW w:type="dxa" w:w="2592"/>
          </w:tcPr>
          <w:p>
            <w:r>
              <w:t>Role restriction.</w:t>
            </w:r>
          </w:p>
        </w:tc>
      </w:tr>
    </w:tbl>
    <w:p>
      <w:pPr>
        <w:pStyle w:val="Heading1"/>
      </w:pPr>
      <w:r>
        <w:t>30. Performance Expectations</w:t>
      </w:r>
    </w:p>
    <w:p>
      <w:pPr>
        <w:pStyle w:val="ListBullet"/>
      </w:pPr>
      <w:r>
        <w:t>Use database indexes defined in the DDD documents.</w:t>
      </w:r>
    </w:p>
    <w:p>
      <w:pPr>
        <w:pStyle w:val="ListBullet"/>
      </w:pPr>
      <w:r>
        <w:t>Avoid N+1 queries.</w:t>
      </w:r>
    </w:p>
    <w:p>
      <w:pPr>
        <w:pStyle w:val="ListBullet"/>
      </w:pPr>
      <w:r>
        <w:t>Paginate large collections.</w:t>
      </w:r>
    </w:p>
    <w:p>
      <w:pPr>
        <w:pStyle w:val="ListBullet"/>
      </w:pPr>
      <w:r>
        <w:t>Use async/non-blocking I/O where supported by the runtime.</w:t>
      </w:r>
    </w:p>
    <w:p>
      <w:pPr>
        <w:pStyle w:val="ListBullet"/>
      </w:pPr>
      <w:r>
        <w:t>External provider calls are isolated from business transactions.</w:t>
      </w:r>
    </w:p>
    <w:p>
      <w:pPr>
        <w:pStyle w:val="ListBullet"/>
      </w:pPr>
      <w:r>
        <w:t>Performance budgets should be established during QA/load testing rather than guessed as hard universal numbers.</w:t>
      </w:r>
    </w:p>
    <w:p>
      <w:pPr>
        <w:pStyle w:val="Heading1"/>
      </w:pPr>
      <w:r>
        <w:t>31. Testing Requirements</w:t>
      </w:r>
    </w:p>
    <w:p>
      <w:pPr>
        <w:pStyle w:val="ListBullet"/>
      </w:pPr>
      <w:r>
        <w:t>Unit tests for validation and application services.</w:t>
      </w:r>
    </w:p>
    <w:p>
      <w:pPr>
        <w:pStyle w:val="ListBullet"/>
      </w:pPr>
      <w:r>
        <w:t>Integration tests for database transactions.</w:t>
      </w:r>
    </w:p>
    <w:p>
      <w:pPr>
        <w:pStyle w:val="ListBullet"/>
      </w:pPr>
      <w:r>
        <w:t>API contract tests against OpenAPI.</w:t>
      </w:r>
    </w:p>
    <w:p>
      <w:pPr>
        <w:pStyle w:val="ListBullet"/>
      </w:pPr>
      <w:r>
        <w:t>Authentication and authorization tests.</w:t>
      </w:r>
    </w:p>
    <w:p>
      <w:pPr>
        <w:pStyle w:val="ListBullet"/>
      </w:pPr>
      <w:r>
        <w:t>Tenant-isolation tests.</w:t>
      </w:r>
    </w:p>
    <w:p>
      <w:pPr>
        <w:pStyle w:val="ListBullet"/>
      </w:pPr>
      <w:r>
        <w:t>BOLA/IDOR tests.</w:t>
      </w:r>
    </w:p>
    <w:p>
      <w:pPr>
        <w:pStyle w:val="ListBullet"/>
      </w:pPr>
      <w:r>
        <w:t>Concurrency/version conflict tests.</w:t>
      </w:r>
    </w:p>
    <w:p>
      <w:pPr>
        <w:pStyle w:val="ListBullet"/>
      </w:pPr>
      <w:r>
        <w:t>Idempotency tests.</w:t>
      </w:r>
    </w:p>
    <w:p>
      <w:pPr>
        <w:pStyle w:val="ListBullet"/>
      </w:pPr>
      <w:r>
        <w:t>Error contract tests.</w:t>
      </w:r>
    </w:p>
    <w:p>
      <w:pPr>
        <w:pStyle w:val="ListBullet"/>
      </w:pPr>
      <w:r>
        <w:t>Pagination/filter/sort tests.</w:t>
      </w:r>
    </w:p>
    <w:p>
      <w:pPr>
        <w:pStyle w:val="ListBullet"/>
      </w:pPr>
      <w:r>
        <w:t>Appointment atomicity tests proving history/audit/outbox behavior.</w:t>
      </w:r>
    </w:p>
    <w:p>
      <w:pPr>
        <w:pStyle w:val="ListBullet"/>
      </w:pPr>
      <w:r>
        <w:t>Notification integration tests proving provider calls occur after commit.</w:t>
      </w:r>
    </w:p>
    <w:p>
      <w:pPr>
        <w:pStyle w:val="Heading1"/>
      </w:pPr>
      <w:r>
        <w:t>32. Traceability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Requirement</w:t>
            </w:r>
          </w:p>
        </w:tc>
        <w:tc>
          <w:tcPr>
            <w:tcW w:type="dxa" w:w="1728"/>
          </w:tcPr>
          <w:p>
            <w:r>
              <w:t>Domain</w:t>
            </w:r>
          </w:p>
        </w:tc>
        <w:tc>
          <w:tcPr>
            <w:tcW w:type="dxa" w:w="1728"/>
          </w:tcPr>
          <w:p>
            <w:r>
              <w:t>DDD</w:t>
            </w:r>
          </w:p>
        </w:tc>
        <w:tc>
          <w:tcPr>
            <w:tcW w:type="dxa" w:w="1728"/>
          </w:tcPr>
          <w:p>
            <w:r>
              <w:t>API Contract</w:t>
            </w:r>
          </w:p>
        </w:tc>
        <w:tc>
          <w:tcPr>
            <w:tcW w:type="dxa" w:w="1728"/>
          </w:tcPr>
          <w:p>
            <w:r>
              <w:t>Test</w:t>
            </w:r>
          </w:p>
        </w:tc>
        <w:tc>
          <w:tcPr>
            <w:tcW w:type="dxa" w:w="1728"/>
          </w:tcPr>
          <w:p>
            <w:r>
              <w:t>Status</w:t>
            </w:r>
          </w:p>
        </w:tc>
      </w:tr>
      <w:tr>
        <w:tc>
          <w:tcPr>
            <w:tcW w:type="dxa" w:w="1728"/>
          </w:tcPr>
          <w:p>
            <w:r>
              <w:t>PAT-FR-001</w:t>
            </w:r>
          </w:p>
        </w:tc>
        <w:tc>
          <w:tcPr>
            <w:tcW w:type="dxa" w:w="1728"/>
          </w:tcPr>
          <w:p>
            <w:r>
              <w:t>Patient</w:t>
            </w:r>
          </w:p>
        </w:tc>
        <w:tc>
          <w:tcPr>
            <w:tcW w:type="dxa" w:w="1728"/>
          </w:tcPr>
          <w:p>
            <w:r>
              <w:t>TDA-DDD-PAT-001</w:t>
            </w:r>
          </w:p>
        </w:tc>
        <w:tc>
          <w:tcPr>
            <w:tcW w:type="dxa" w:w="1728"/>
          </w:tcPr>
          <w:p>
            <w:r>
              <w:t>Patient CRUD/search</w:t>
            </w:r>
          </w:p>
        </w:tc>
        <w:tc>
          <w:tcPr>
            <w:tcW w:type="dxa" w:w="1728"/>
          </w:tcPr>
          <w:p>
            <w:r>
              <w:t>PAT-API-*</w:t>
            </w:r>
          </w:p>
        </w:tc>
        <w:tc>
          <w:tcPr>
            <w:tcW w:type="dxa" w:w="1728"/>
          </w:tcPr>
          <w:p>
            <w:r>
              <w:t>PARTIAL</w:t>
            </w:r>
          </w:p>
        </w:tc>
      </w:tr>
      <w:tr>
        <w:tc>
          <w:tcPr>
            <w:tcW w:type="dxa" w:w="1728"/>
          </w:tcPr>
          <w:p>
            <w:r>
              <w:t>PAT-FR-003</w:t>
            </w:r>
          </w:p>
        </w:tc>
        <w:tc>
          <w:tcPr>
            <w:tcW w:type="dxa" w:w="1728"/>
          </w:tcPr>
          <w:p>
            <w:r>
              <w:t>Patient</w:t>
            </w:r>
          </w:p>
        </w:tc>
        <w:tc>
          <w:tcPr>
            <w:tcW w:type="dxa" w:w="1728"/>
          </w:tcPr>
          <w:p>
            <w:r>
              <w:t>TDA-DDD-PAT-001</w:t>
            </w:r>
          </w:p>
        </w:tc>
        <w:tc>
          <w:tcPr>
            <w:tcW w:type="dxa" w:w="1728"/>
          </w:tcPr>
          <w:p>
            <w:r>
              <w:t>RBAC/tenant checks</w:t>
            </w:r>
          </w:p>
        </w:tc>
        <w:tc>
          <w:tcPr>
            <w:tcW w:type="dxa" w:w="1728"/>
          </w:tcPr>
          <w:p>
            <w:r>
              <w:t>PAT-SEC-*</w:t>
            </w:r>
          </w:p>
        </w:tc>
        <w:tc>
          <w:tcPr>
            <w:tcW w:type="dxa" w:w="1728"/>
          </w:tcPr>
          <w:p>
            <w:r>
              <w:t>PARTIAL</w:t>
            </w:r>
          </w:p>
        </w:tc>
      </w:tr>
      <w:tr>
        <w:tc>
          <w:tcPr>
            <w:tcW w:type="dxa" w:w="1728"/>
          </w:tcPr>
          <w:p>
            <w:r>
              <w:t>APT-FR-001</w:t>
            </w:r>
          </w:p>
        </w:tc>
        <w:tc>
          <w:tcPr>
            <w:tcW w:type="dxa" w:w="1728"/>
          </w:tcPr>
          <w:p>
            <w:r>
              <w:t>Appointment</w:t>
            </w:r>
          </w:p>
        </w:tc>
        <w:tc>
          <w:tcPr>
            <w:tcW w:type="dxa" w:w="1728"/>
          </w:tcPr>
          <w:p>
            <w:r>
              <w:t>TDA-DDD-APT-001</w:t>
            </w:r>
          </w:p>
        </w:tc>
        <w:tc>
          <w:tcPr>
            <w:tcW w:type="dxa" w:w="1728"/>
          </w:tcPr>
          <w:p>
            <w:r>
              <w:t>Appointment commands</w:t>
            </w:r>
          </w:p>
        </w:tc>
        <w:tc>
          <w:tcPr>
            <w:tcW w:type="dxa" w:w="1728"/>
          </w:tcPr>
          <w:p>
            <w:r>
              <w:t>APT-API-*</w:t>
            </w:r>
          </w:p>
        </w:tc>
        <w:tc>
          <w:tcPr>
            <w:tcW w:type="dxa" w:w="1728"/>
          </w:tcPr>
          <w:p>
            <w:r>
              <w:t>PARTIAL</w:t>
            </w:r>
          </w:p>
        </w:tc>
      </w:tr>
      <w:tr>
        <w:tc>
          <w:tcPr>
            <w:tcW w:type="dxa" w:w="1728"/>
          </w:tcPr>
          <w:p>
            <w:r>
              <w:t>APT-FR-003</w:t>
            </w:r>
          </w:p>
        </w:tc>
        <w:tc>
          <w:tcPr>
            <w:tcW w:type="dxa" w:w="1728"/>
          </w:tcPr>
          <w:p>
            <w:r>
              <w:t>Appointment</w:t>
            </w:r>
          </w:p>
        </w:tc>
        <w:tc>
          <w:tcPr>
            <w:tcW w:type="dxa" w:w="1728"/>
          </w:tcPr>
          <w:p>
            <w:r>
              <w:t>TDA-DDD-APT-001</w:t>
            </w:r>
          </w:p>
        </w:tc>
        <w:tc>
          <w:tcPr>
            <w:tcW w:type="dxa" w:w="1728"/>
          </w:tcPr>
          <w:p>
            <w:r>
              <w:t>Atomic history/audit</w:t>
            </w:r>
          </w:p>
        </w:tc>
        <w:tc>
          <w:tcPr>
            <w:tcW w:type="dxa" w:w="1728"/>
          </w:tcPr>
          <w:p>
            <w:r>
              <w:t>APT-TX-*</w:t>
            </w:r>
          </w:p>
        </w:tc>
        <w:tc>
          <w:tcPr>
            <w:tcW w:type="dxa" w:w="1728"/>
          </w:tcPr>
          <w:p>
            <w:r>
              <w:t>PARTIAL</w:t>
            </w:r>
          </w:p>
        </w:tc>
      </w:tr>
      <w:tr>
        <w:tc>
          <w:tcPr>
            <w:tcW w:type="dxa" w:w="1728"/>
          </w:tcPr>
          <w:p>
            <w:r>
              <w:t>NOTIF-FR-001</w:t>
            </w:r>
          </w:p>
        </w:tc>
        <w:tc>
          <w:tcPr>
            <w:tcW w:type="dxa" w:w="1728"/>
          </w:tcPr>
          <w:p>
            <w:r>
              <w:t>Notification</w:t>
            </w:r>
          </w:p>
        </w:tc>
        <w:tc>
          <w:tcPr>
            <w:tcW w:type="dxa" w:w="1728"/>
          </w:tcPr>
          <w:p>
            <w:r>
              <w:t>TDA-DDD-NOTIF-001</w:t>
            </w:r>
          </w:p>
        </w:tc>
        <w:tc>
          <w:tcPr>
            <w:tcW w:type="dxa" w:w="1728"/>
          </w:tcPr>
          <w:p>
            <w:r>
              <w:t>Internal outbox/worker</w:t>
            </w:r>
          </w:p>
        </w:tc>
        <w:tc>
          <w:tcPr>
            <w:tcW w:type="dxa" w:w="1728"/>
          </w:tcPr>
          <w:p>
            <w:r>
              <w:t>NOTIF-TX-*</w:t>
            </w:r>
          </w:p>
        </w:tc>
        <w:tc>
          <w:tcPr>
            <w:tcW w:type="dxa" w:w="1728"/>
          </w:tcPr>
          <w:p>
            <w:r>
              <w:t>PARTIAL</w:t>
            </w:r>
          </w:p>
        </w:tc>
      </w:tr>
    </w:tbl>
    <w:p>
      <w:pPr>
        <w:pStyle w:val="Heading1"/>
      </w:pPr>
      <w:r>
        <w:t>33. Cursor Implementation Rules</w:t>
      </w:r>
    </w:p>
    <w:p>
      <w:pPr>
        <w:pStyle w:val="ListBullet"/>
      </w:pPr>
      <w:r>
        <w:t>Cursor must treat this document as the API architecture authority after approval/baselining.</w:t>
      </w:r>
    </w:p>
    <w:p>
      <w:pPr>
        <w:pStyle w:val="ListBullet"/>
      </w:pPr>
      <w:r>
        <w:t>Cursor must not place business logic directly in controllers/endpoints.</w:t>
      </w:r>
    </w:p>
    <w:p>
      <w:pPr>
        <w:pStyle w:val="ListBullet"/>
      </w:pPr>
      <w:r>
        <w:t>Cursor must not trust client-supplied organization_id for authorization.</w:t>
      </w:r>
    </w:p>
    <w:p>
      <w:pPr>
        <w:pStyle w:val="ListBullet"/>
      </w:pPr>
      <w:r>
        <w:t>Cursor must preserve domain/database invariants.</w:t>
      </w:r>
    </w:p>
    <w:p>
      <w:pPr>
        <w:pStyle w:val="ListBullet"/>
      </w:pPr>
      <w:r>
        <w:t>Cursor must not call external notification providers inside appointment database transactions.</w:t>
      </w:r>
    </w:p>
    <w:p>
      <w:pPr>
        <w:pStyle w:val="ListBullet"/>
      </w:pPr>
      <w:r>
        <w:t>Cursor must update OpenAPI, tests and traceability when an endpoint changes.</w:t>
      </w:r>
    </w:p>
    <w:p>
      <w:pPr>
        <w:pStyle w:val="ListBullet"/>
      </w:pPr>
      <w:r>
        <w:t>Cursor must report endpoint changes, DTO changes, authorization rules, migrations and tests.</w:t>
      </w:r>
    </w:p>
    <w:p>
      <w:pPr>
        <w:pStyle w:val="Heading1"/>
      </w:pPr>
      <w:r>
        <w:t>34. Definition of Done</w:t>
      </w:r>
    </w:p>
    <w:p>
      <w:pPr>
        <w:pStyle w:val="ListBullet"/>
      </w:pPr>
      <w:r>
        <w:t>API architecture and versioning strategy approved.</w:t>
      </w:r>
    </w:p>
    <w:p>
      <w:pPr>
        <w:pStyle w:val="ListBullet"/>
      </w:pPr>
      <w:r>
        <w:t>OpenAPI structure established.</w:t>
      </w:r>
    </w:p>
    <w:p>
      <w:pPr>
        <w:pStyle w:val="ListBullet"/>
      </w:pPr>
      <w:r>
        <w:t>Authentication/authorization integration defined.</w:t>
      </w:r>
    </w:p>
    <w:p>
      <w:pPr>
        <w:pStyle w:val="ListBullet"/>
      </w:pPr>
      <w:r>
        <w:t>Patient endpoints mapped to Patient DDD.</w:t>
      </w:r>
    </w:p>
    <w:p>
      <w:pPr>
        <w:pStyle w:val="ListBullet"/>
      </w:pPr>
      <w:r>
        <w:t>Appointment endpoints mapped to Appointment DDD.</w:t>
      </w:r>
    </w:p>
    <w:p>
      <w:pPr>
        <w:pStyle w:val="ListBullet"/>
      </w:pPr>
      <w:r>
        <w:t>Notification worker/API boundary defined.</w:t>
      </w:r>
    </w:p>
    <w:p>
      <w:pPr>
        <w:pStyle w:val="ListBullet"/>
      </w:pPr>
      <w:r>
        <w:t>Common error/idempotency/concurrency standards implemented.</w:t>
      </w:r>
    </w:p>
    <w:p>
      <w:pPr>
        <w:pStyle w:val="ListBullet"/>
      </w:pPr>
      <w:r>
        <w:t>Tenant isolation and security tests pass.</w:t>
      </w:r>
    </w:p>
    <w:p>
      <w:pPr>
        <w:pStyle w:val="ListBullet"/>
      </w:pPr>
      <w:r>
        <w:t>API contract tests pass.</w:t>
      </w:r>
    </w:p>
    <w:p>
      <w:pPr>
        <w:pStyle w:val="ListBullet"/>
      </w:pPr>
      <w:r>
        <w:t>RTM updated for all implemented endpoints.</w:t>
      </w:r>
    </w:p>
    <w:p>
      <w:pPr>
        <w:pStyle w:val="Heading1"/>
      </w:pPr>
      <w:r>
        <w:t>35. Open Decisions / ADRs</w:t>
      </w:r>
    </w:p>
    <w:p>
      <w:pPr>
        <w:pStyle w:val="ListBullet"/>
      </w:pPr>
      <w:r>
        <w:t>ADR-API-001 — Exact authentication/token/session mechanism.</w:t>
      </w:r>
    </w:p>
    <w:p>
      <w:pPr>
        <w:pStyle w:val="ListBullet"/>
      </w:pPr>
      <w:r>
        <w:t>ADR-API-002 — REST response envelope and pagination convention.</w:t>
      </w:r>
    </w:p>
    <w:p>
      <w:pPr>
        <w:pStyle w:val="ListBullet"/>
      </w:pPr>
      <w:r>
        <w:t>ADR-API-003 — Idempotency-key persistence strategy.</w:t>
      </w:r>
    </w:p>
    <w:p>
      <w:pPr>
        <w:pStyle w:val="ListBullet"/>
      </w:pPr>
      <w:r>
        <w:t>ADR-API-004 — API versioning/deprecation policy.</w:t>
      </w:r>
    </w:p>
    <w:p>
      <w:pPr>
        <w:pStyle w:val="ListBullet"/>
      </w:pPr>
      <w:r>
        <w:t>ADR-API-005 — Public vs internal API boundary.</w:t>
      </w:r>
    </w:p>
    <w:p>
      <w:pPr>
        <w:pStyle w:val="ListBullet"/>
      </w:pPr>
      <w:r>
        <w:t>ADR-API-006 — OpenAPI generation/source-of-truth workflow.</w:t>
      </w:r>
    </w:p>
    <w:p>
      <w:pPr>
        <w:pStyle w:val="Heading1"/>
      </w:pPr>
      <w:r>
        <w:t>36.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Volume</w:t>
            </w:r>
          </w:p>
        </w:tc>
        <w:tc>
          <w:tcPr>
            <w:tcW w:type="dxa" w:w="3456"/>
          </w:tcPr>
          <w:p>
            <w:r>
              <w:t>06 — API Specification</w:t>
            </w:r>
          </w:p>
        </w:tc>
        <w:tc>
          <w:tcPr>
            <w:tcW w:type="dxa" w:w="3456"/>
          </w:tcPr>
          <w:p>
            <w:r>
              <w:t>First API architecture standard.</w:t>
            </w:r>
          </w:p>
        </w:tc>
      </w:tr>
      <w:tr>
        <w:tc>
          <w:tcPr>
            <w:tcW w:type="dxa" w:w="3456"/>
          </w:tcPr>
          <w:p>
            <w:r>
              <w:t>Inputs</w:t>
            </w:r>
          </w:p>
        </w:tc>
        <w:tc>
          <w:tcPr>
            <w:tcW w:type="dxa" w:w="3456"/>
          </w:tcPr>
          <w:p>
            <w:r>
              <w:t>TDD v1.1 + Patient/Appointment/Notification DDDs</w:t>
            </w:r>
          </w:p>
        </w:tc>
        <w:tc>
          <w:tcPr>
            <w:tcW w:type="dxa" w:w="3456"/>
          </w:tcPr>
          <w:p>
            <w:r>
              <w:t>Current inputs are REVIEW.</w:t>
            </w:r>
          </w:p>
        </w:tc>
      </w:tr>
      <w:tr>
        <w:tc>
          <w:tcPr>
            <w:tcW w:type="dxa" w:w="3456"/>
          </w:tcPr>
          <w:p>
            <w:r>
              <w:t>Critical invariant</w:t>
            </w:r>
          </w:p>
        </w:tc>
        <w:tc>
          <w:tcPr>
            <w:tcW w:type="dxa" w:w="3456"/>
          </w:tcPr>
          <w:p>
            <w:r>
              <w:t>API → application service → domain/DB transaction; external providers isolated</w:t>
            </w:r>
          </w:p>
        </w:tc>
        <w:tc>
          <w:tcPr>
            <w:tcW w:type="dxa" w:w="3456"/>
          </w:tcPr>
          <w:p>
            <w:r>
              <w:t>Must be preserved.</w:t>
            </w:r>
          </w:p>
        </w:tc>
      </w:tr>
      <w:tr>
        <w:tc>
          <w:tcPr>
            <w:tcW w:type="dxa" w:w="3456"/>
          </w:tcPr>
          <w:p>
            <w:r>
              <w:t>Next dependency</w:t>
            </w:r>
          </w:p>
        </w:tc>
        <w:tc>
          <w:tcPr>
            <w:tcW w:type="dxa" w:w="3456"/>
          </w:tcPr>
          <w:p>
            <w:r>
              <w:t>Domain-specific API contracts + Security + QA</w:t>
            </w:r>
          </w:p>
        </w:tc>
        <w:tc>
          <w:tcPr>
            <w:tcW w:type="dxa" w:w="3456"/>
          </w:tcPr>
          <w:p>
            <w:r>
              <w:t>Required for implementation.</w:t>
            </w:r>
          </w:p>
        </w:tc>
      </w:tr>
    </w:tbl>
    <w:p>
      <w:pPr>
        <w:pStyle w:val="Heading1"/>
      </w:pPr>
      <w:r>
        <w:t>37. Governance Statement</w:t>
      </w:r>
    </w:p>
    <w:p>
      <w:r>
        <w:rPr>
          <w:b/>
        </w:rPr>
        <w:t>This document establishes the common API contract framework for DentalCare AI. It intentionally prevents transport logic from becoming the source of business truth. Domain specifications and database designs remain authoritative for business invariants, while this document controls how those capabilities are safely exposed over HTTP and how clients, workers and services interact with the backend.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