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6"/>
        </w:rPr>
        <w:t>DentalCare AI</w:t>
      </w:r>
    </w:p>
    <w:p>
      <w:pPr>
        <w:jc w:val="center"/>
      </w:pPr>
      <w:r>
        <w:rPr>
          <w:b/>
          <w:i w:val="0"/>
          <w:sz w:val="34"/>
        </w:rPr>
        <w:t>TDA-DOM-NOTIF-001 — Notification Domain Specification</w:t>
      </w:r>
    </w:p>
    <w:p>
      <w:pPr>
        <w:jc w:val="center"/>
      </w:pPr>
      <w:r>
        <w:rPr>
          <w:b/>
          <w:i w:val="0"/>
          <w:sz w:val="22"/>
        </w:rPr>
        <w:t>Version 1.0 | Status: REVIEW | 14 August 2026</w:t>
      </w:r>
    </w:p>
    <w:p>
      <w:pPr>
        <w:jc w:val="center"/>
      </w:pPr>
      <w:r>
        <w:rPr>
          <w:b w:val="0"/>
          <w:i/>
          <w:sz w:val="19"/>
        </w:rPr>
        <w:t>Controlled specification for notification intent, outbox processing, dispatch, delivery and provider integration</w:t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Controlled Value</w:t>
            </w:r>
          </w:p>
        </w:tc>
      </w:tr>
      <w:tr>
        <w:tc>
          <w:tcPr>
            <w:tcW w:type="dxa" w:w="5112"/>
          </w:tcPr>
          <w:p>
            <w:r>
              <w:t>Document ID</w:t>
            </w:r>
          </w:p>
        </w:tc>
        <w:tc>
          <w:tcPr>
            <w:tcW w:type="dxa" w:w="5112"/>
          </w:tcPr>
          <w:p>
            <w:r>
              <w:t>TDA-DOM-NOTIF-001</w:t>
            </w:r>
          </w:p>
        </w:tc>
      </w:tr>
      <w:tr>
        <w:tc>
          <w:tcPr>
            <w:tcW w:type="dxa" w:w="5112"/>
          </w:tcPr>
          <w:p>
            <w:r>
              <w:t>Domain</w:t>
            </w:r>
          </w:p>
        </w:tc>
        <w:tc>
          <w:tcPr>
            <w:tcW w:type="dxa" w:w="5112"/>
          </w:tcPr>
          <w:p>
            <w:r>
              <w:t>Notification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1.0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REVIEW</w:t>
            </w:r>
          </w:p>
        </w:tc>
      </w:tr>
      <w:tr>
        <w:tc>
          <w:tcPr>
            <w:tcW w:type="dxa" w:w="5112"/>
          </w:tcPr>
          <w:p>
            <w:r>
              <w:t>Business Source</w:t>
            </w:r>
          </w:p>
        </w:tc>
        <w:tc>
          <w:tcPr>
            <w:tcW w:type="dxa" w:w="5112"/>
          </w:tcPr>
          <w:p>
            <w:r>
              <w:t>TDA-PRD-BRD-001 — BRD v1.1</w:t>
            </w:r>
          </w:p>
        </w:tc>
      </w:tr>
      <w:tr>
        <w:tc>
          <w:tcPr>
            <w:tcW w:type="dxa" w:w="5112"/>
          </w:tcPr>
          <w:p>
            <w:r>
              <w:t>Functional Source</w:t>
            </w:r>
          </w:p>
        </w:tc>
        <w:tc>
          <w:tcPr>
            <w:tcW w:type="dxa" w:w="5112"/>
          </w:tcPr>
          <w:p>
            <w:r>
              <w:t>TDA-FRS-001 — FRS v1.1</w:t>
            </w:r>
          </w:p>
        </w:tc>
      </w:tr>
      <w:tr>
        <w:tc>
          <w:tcPr>
            <w:tcW w:type="dxa" w:w="5112"/>
          </w:tcPr>
          <w:p>
            <w:r>
              <w:t>Technical Source</w:t>
            </w:r>
          </w:p>
        </w:tc>
        <w:tc>
          <w:tcPr>
            <w:tcW w:type="dxa" w:w="5112"/>
          </w:tcPr>
          <w:p>
            <w:r>
              <w:t>TDA-TDD-001 — TDD v1.1</w:t>
            </w:r>
          </w:p>
        </w:tc>
      </w:tr>
      <w:tr>
        <w:tc>
          <w:tcPr>
            <w:tcW w:type="dxa" w:w="5112"/>
          </w:tcPr>
          <w:p>
            <w:r>
              <w:t>Related Domain</w:t>
            </w:r>
          </w:p>
        </w:tc>
        <w:tc>
          <w:tcPr>
            <w:tcW w:type="dxa" w:w="5112"/>
          </w:tcPr>
          <w:p>
            <w:r>
              <w:t>TDA-DOM-APT-001 — Appointment v1.0</w:t>
            </w:r>
          </w:p>
        </w:tc>
      </w:tr>
      <w:tr>
        <w:tc>
          <w:tcPr>
            <w:tcW w:type="dxa" w:w="5112"/>
          </w:tcPr>
          <w:p>
            <w:r>
              <w:t>Database Source</w:t>
            </w:r>
          </w:p>
        </w:tc>
        <w:tc>
          <w:tcPr>
            <w:tcW w:type="dxa" w:w="5112"/>
          </w:tcPr>
          <w:p>
            <w:r>
              <w:t>Notification DDD — to be created</w:t>
            </w:r>
          </w:p>
        </w:tc>
      </w:tr>
      <w:tr>
        <w:tc>
          <w:tcPr>
            <w:tcW w:type="dxa" w:w="5112"/>
          </w:tcPr>
          <w:p>
            <w:r>
              <w:t>API Source</w:t>
            </w:r>
          </w:p>
        </w:tc>
        <w:tc>
          <w:tcPr>
            <w:tcW w:type="dxa" w:w="5112"/>
          </w:tcPr>
          <w:p>
            <w:r>
              <w:t>Volume 06 — API Specification, to be created</w:t>
            </w:r>
          </w:p>
        </w:tc>
      </w:tr>
      <w:tr>
        <w:tc>
          <w:tcPr>
            <w:tcW w:type="dxa" w:w="5112"/>
          </w:tcPr>
          <w:p>
            <w:r>
              <w:t>Security Source</w:t>
            </w:r>
          </w:p>
        </w:tc>
        <w:tc>
          <w:tcPr>
            <w:tcW w:type="dxa" w:w="5112"/>
          </w:tcPr>
          <w:p>
            <w:r>
              <w:t>Volume 07 — Security &amp; Privacy, to be created</w:t>
            </w:r>
          </w:p>
        </w:tc>
      </w:tr>
      <w:tr>
        <w:tc>
          <w:tcPr>
            <w:tcW w:type="dxa" w:w="5112"/>
          </w:tcPr>
          <w:p>
            <w:r>
              <w:t>QA Source</w:t>
            </w:r>
          </w:p>
        </w:tc>
        <w:tc>
          <w:tcPr>
            <w:tcW w:type="dxa" w:w="5112"/>
          </w:tcPr>
          <w:p>
            <w:r>
              <w:t>Volume 08 — Testing &amp; QA, to be created</w:t>
            </w:r>
          </w:p>
        </w:tc>
      </w:tr>
      <w:tr>
        <w:tc>
          <w:tcPr>
            <w:tcW w:type="dxa" w:w="5112"/>
          </w:tcPr>
          <w:p>
            <w:r>
              <w:t>Traceability</w:t>
            </w:r>
          </w:p>
        </w:tc>
        <w:tc>
          <w:tcPr>
            <w:tcW w:type="dxa" w:w="5112"/>
          </w:tcPr>
          <w:p>
            <w:r>
              <w:t>TDA-GOV-RTM-001</w:t>
            </w:r>
          </w:p>
        </w:tc>
      </w:tr>
      <w:tr>
        <w:tc>
          <w:tcPr>
            <w:tcW w:type="dxa" w:w="5112"/>
          </w:tcPr>
          <w:p>
            <w:r>
              <w:t>Source-of-Truth</w:t>
            </w:r>
          </w:p>
        </w:tc>
        <w:tc>
          <w:tcPr>
            <w:tcW w:type="dxa" w:w="5112"/>
          </w:tcPr>
          <w:p>
            <w:r>
              <w:t>TDA-GOV-SOT-001</w:t>
            </w:r>
          </w:p>
        </w:tc>
      </w:tr>
      <w:tr>
        <w:tc>
          <w:tcPr>
            <w:tcW w:type="dxa" w:w="5112"/>
          </w:tcPr>
          <w:p>
            <w:r>
              <w:t>Change Management</w:t>
            </w:r>
          </w:p>
        </w:tc>
        <w:tc>
          <w:tcPr>
            <w:tcW w:type="dxa" w:w="5112"/>
          </w:tcPr>
          <w:p>
            <w:r>
              <w:t>TDA-GOV-CMP-001</w:t>
            </w:r>
          </w:p>
        </w:tc>
      </w:tr>
      <w:tr>
        <w:tc>
          <w:tcPr>
            <w:tcW w:type="dxa" w:w="5112"/>
          </w:tcPr>
          <w:p>
            <w:r>
              <w:t>Cursor Rules</w:t>
            </w:r>
          </w:p>
        </w:tc>
        <w:tc>
          <w:tcPr>
            <w:tcW w:type="dxa" w:w="5112"/>
          </w:tcPr>
          <w:p>
            <w:r>
              <w:t>TDA-GOV-CUR-001</w:t>
            </w:r>
          </w:p>
        </w:tc>
      </w:tr>
    </w:tbl>
    <w:p>
      <w:pPr>
        <w:pStyle w:val="Heading1"/>
      </w:pPr>
      <w:r>
        <w:t>2. Purpose</w:t>
      </w:r>
    </w:p>
    <w:p>
      <w:r>
        <w:t>This specification defines the controlled behavior of the Notification domain: notification intent creation, durable outbox storage, asynchronous dispatch, provider adapters, delivery state, retries, idempotency, failure handling, auditability, tenant isolation and operational observability.</w:t>
      </w:r>
    </w:p>
    <w:p>
      <w:pPr>
        <w:pStyle w:val="Heading1"/>
      </w:pPr>
      <w:r>
        <w:t>3. Core Architectural Principle</w:t>
      </w:r>
    </w:p>
    <w:p>
      <w:r>
        <w:rPr>
          <w:b/>
        </w:rPr>
        <w:t>Domain transaction creates durable notification intent; dispatcher performs external delivery asynchronously.</w:t>
      </w:r>
    </w:p>
    <w:p>
      <w:r>
        <w:rPr>
          <w:b/>
        </w:rPr>
        <w:t>Appointment Mutation → DB Transaction → Notification Outbox → Dispatcher → Provider Adapter → External Provider</w:t>
      </w:r>
    </w:p>
    <w:p>
      <w:pPr>
        <w:pStyle w:val="ListBullet"/>
      </w:pPr>
      <w:r>
        <w:t>The notification outbox is part of the originating business transaction when the notification is required.</w:t>
      </w:r>
    </w:p>
    <w:p>
      <w:pPr>
        <w:pStyle w:val="ListBullet"/>
      </w:pPr>
      <w:r>
        <w:t>SMTP, Twilio or any other external provider must not be called from the originating appointment mutation transaction.</w:t>
      </w:r>
    </w:p>
    <w:p>
      <w:pPr>
        <w:pStyle w:val="ListBullet"/>
      </w:pPr>
      <w:r>
        <w:t>After commit, the dispatcher is responsible for delivery processing.</w:t>
      </w:r>
    </w:p>
    <w:p>
      <w:pPr>
        <w:pStyle w:val="ListBullet"/>
      </w:pPr>
      <w:r>
        <w:t>Provider failure must not roll back the already committed business transaction.</w:t>
      </w:r>
    </w:p>
    <w:p>
      <w:pPr>
        <w:pStyle w:val="ListBullet"/>
      </w:pPr>
      <w:r>
        <w:t>A notification is an asynchronous side effect of a committed business event, not the owner of the business event.</w:t>
      </w:r>
    </w:p>
    <w:p>
      <w:pPr>
        <w:pStyle w:val="Heading1"/>
      </w:pPr>
      <w:r>
        <w:t>4. Domain Scope</w:t>
      </w:r>
    </w:p>
    <w:p>
      <w:pPr>
        <w:pStyle w:val="ListBullet"/>
      </w:pPr>
      <w:r>
        <w:t>Notification intent creation.</w:t>
      </w:r>
    </w:p>
    <w:p>
      <w:pPr>
        <w:pStyle w:val="ListBullet"/>
      </w:pPr>
      <w:r>
        <w:t>Notification outbox persistence.</w:t>
      </w:r>
    </w:p>
    <w:p>
      <w:pPr>
        <w:pStyle w:val="ListBullet"/>
      </w:pPr>
      <w:r>
        <w:t>Outbox eligibility and claiming.</w:t>
      </w:r>
    </w:p>
    <w:p>
      <w:pPr>
        <w:pStyle w:val="ListBullet"/>
      </w:pPr>
      <w:r>
        <w:t>Dispatcher execution.</w:t>
      </w:r>
    </w:p>
    <w:p>
      <w:pPr>
        <w:pStyle w:val="ListBullet"/>
      </w:pPr>
      <w:r>
        <w:t>Provider adapter abstraction.</w:t>
      </w:r>
    </w:p>
    <w:p>
      <w:pPr>
        <w:pStyle w:val="ListBullet"/>
      </w:pPr>
      <w:r>
        <w:t>SMTP and Twilio integration boundaries.</w:t>
      </w:r>
    </w:p>
    <w:p>
      <w:pPr>
        <w:pStyle w:val="ListBullet"/>
      </w:pPr>
      <w:r>
        <w:t>Retry and backoff.</w:t>
      </w:r>
    </w:p>
    <w:p>
      <w:pPr>
        <w:pStyle w:val="ListBullet"/>
      </w:pPr>
      <w:r>
        <w:t>Idempotency and duplicate prevention.</w:t>
      </w:r>
    </w:p>
    <w:p>
      <w:pPr>
        <w:pStyle w:val="ListBullet"/>
      </w:pPr>
      <w:r>
        <w:t>Delivery/processing status.</w:t>
      </w:r>
    </w:p>
    <w:p>
      <w:pPr>
        <w:pStyle w:val="ListBullet"/>
      </w:pPr>
      <w:r>
        <w:t>Terminal failure handling.</w:t>
      </w:r>
    </w:p>
    <w:p>
      <w:pPr>
        <w:pStyle w:val="ListBullet"/>
      </w:pPr>
      <w:r>
        <w:t>Tenant-aware notification processing.</w:t>
      </w:r>
    </w:p>
    <w:p>
      <w:pPr>
        <w:pStyle w:val="ListBullet"/>
      </w:pPr>
      <w:r>
        <w:t>Notification audit/observability.</w:t>
      </w:r>
    </w:p>
    <w:p>
      <w:pPr>
        <w:pStyle w:val="ListBullet"/>
      </w:pPr>
      <w:r>
        <w:t>Template and channel selection at the appropriate service boundary.</w:t>
      </w:r>
    </w:p>
    <w:p>
      <w:pPr>
        <w:pStyle w:val="Heading1"/>
      </w:pPr>
      <w:r>
        <w:t>5. Domain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Notification Owns</w:t>
            </w:r>
          </w:p>
        </w:tc>
        <w:tc>
          <w:tcPr>
            <w:tcW w:type="dxa" w:w="3408"/>
          </w:tcPr>
          <w:p>
            <w:r>
              <w:t>Consumes</w:t>
            </w:r>
          </w:p>
        </w:tc>
        <w:tc>
          <w:tcPr>
            <w:tcW w:type="dxa" w:w="3408"/>
          </w:tcPr>
          <w:p>
            <w:r>
              <w:t>Does Not Own</w:t>
            </w:r>
          </w:p>
        </w:tc>
      </w:tr>
      <w:tr>
        <w:tc>
          <w:tcPr>
            <w:tcW w:type="dxa" w:w="3408"/>
          </w:tcPr>
          <w:p>
            <w:r>
              <w:t>Notification intent, outbox lifecycle, dispatch processing</w:t>
            </w:r>
          </w:p>
        </w:tc>
        <w:tc>
          <w:tcPr>
            <w:tcW w:type="dxa" w:w="3408"/>
          </w:tcPr>
          <w:p>
            <w:r>
              <w:t>Appointment/patient/domain event context, recipient preferences, provider configuration</w:t>
            </w:r>
          </w:p>
        </w:tc>
        <w:tc>
          <w:tcPr>
            <w:tcW w:type="dxa" w:w="3408"/>
          </w:tcPr>
          <w:p>
            <w:r>
              <w:t>Appointment lifecycle, patient master record, clinical record</w:t>
            </w:r>
          </w:p>
        </w:tc>
      </w:tr>
      <w:tr>
        <w:tc>
          <w:tcPr>
            <w:tcW w:type="dxa" w:w="3408"/>
          </w:tcPr>
          <w:p>
            <w:r>
              <w:t>Provider adapter contract and delivery processing</w:t>
            </w:r>
          </w:p>
        </w:tc>
        <w:tc>
          <w:tcPr>
            <w:tcW w:type="dxa" w:w="3408"/>
          </w:tcPr>
          <w:p>
            <w:r>
              <w:t>SMTP/Twilio/provider responses</w:t>
            </w:r>
          </w:p>
        </w:tc>
        <w:tc>
          <w:tcPr>
            <w:tcW w:type="dxa" w:w="3408"/>
          </w:tcPr>
          <w:p>
            <w:r>
              <w:t>Provider business rules outside notification delivery</w:t>
            </w:r>
          </w:p>
        </w:tc>
      </w:tr>
      <w:tr>
        <w:tc>
          <w:tcPr>
            <w:tcW w:type="dxa" w:w="3408"/>
          </w:tcPr>
          <w:p>
            <w:r>
              <w:t>Retry/terminal failure state</w:t>
            </w:r>
          </w:p>
        </w:tc>
        <w:tc>
          <w:tcPr>
            <w:tcW w:type="dxa" w:w="3408"/>
          </w:tcPr>
          <w:p>
            <w:r>
              <w:t>Operational configuration</w:t>
            </w:r>
          </w:p>
        </w:tc>
        <w:tc>
          <w:tcPr>
            <w:tcW w:type="dxa" w:w="3408"/>
          </w:tcPr>
          <w:p>
            <w:r>
              <w:t>Clinical/business state transitions</w:t>
            </w:r>
          </w:p>
        </w:tc>
      </w:tr>
    </w:tbl>
    <w:p>
      <w:pPr>
        <w:pStyle w:val="Heading1"/>
      </w:pPr>
      <w:r>
        <w:t>6. Authoritative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Phase</w:t>
            </w:r>
          </w:p>
        </w:tc>
        <w:tc>
          <w:tcPr>
            <w:tcW w:type="dxa" w:w="2556"/>
          </w:tcPr>
          <w:p>
            <w:r>
              <w:t>Requirement</w:t>
            </w:r>
          </w:p>
        </w:tc>
      </w:tr>
      <w:tr>
        <w:tc>
          <w:tcPr>
            <w:tcW w:type="dxa" w:w="2556"/>
          </w:tcPr>
          <w:p>
            <w:r>
              <w:t>NOTIF-FR-001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  <w:tc>
          <w:tcPr>
            <w:tcW w:type="dxa" w:w="2556"/>
          </w:tcPr>
          <w:p>
            <w:r>
              <w:t>MVP</w:t>
            </w:r>
          </w:p>
        </w:tc>
        <w:tc>
          <w:tcPr>
            <w:tcW w:type="dxa" w:w="2556"/>
          </w:tcPr>
          <w:p>
            <w:r>
              <w:t>Create required notification work transactionally with the originating business mutation.</w:t>
            </w:r>
          </w:p>
        </w:tc>
      </w:tr>
      <w:tr>
        <w:tc>
          <w:tcPr>
            <w:tcW w:type="dxa" w:w="2556"/>
          </w:tcPr>
          <w:p>
            <w:r>
              <w:t>NOTIF-FR-002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  <w:tc>
          <w:tcPr>
            <w:tcW w:type="dxa" w:w="2556"/>
          </w:tcPr>
          <w:p>
            <w:r>
              <w:t>MVP</w:t>
            </w:r>
          </w:p>
        </w:tc>
        <w:tc>
          <w:tcPr>
            <w:tcW w:type="dxa" w:w="2556"/>
          </w:tcPr>
          <w:p>
            <w:r>
              <w:t>Dispatch notification work asynchronously through the approved dispatcher architecture.</w:t>
            </w:r>
          </w:p>
        </w:tc>
      </w:tr>
      <w:tr>
        <w:tc>
          <w:tcPr>
            <w:tcW w:type="dxa" w:w="2556"/>
          </w:tcPr>
          <w:p>
            <w:r>
              <w:t>NOTIF-FR-003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  <w:tc>
          <w:tcPr>
            <w:tcW w:type="dxa" w:w="2556"/>
          </w:tcPr>
          <w:p>
            <w:r>
              <w:t>MVP</w:t>
            </w:r>
          </w:p>
        </w:tc>
        <w:tc>
          <w:tcPr>
            <w:tcW w:type="dxa" w:w="2556"/>
          </w:tcPr>
          <w:p>
            <w:r>
              <w:t>Do not introduce direct SMTP/Twilio/provider calls inside appointment mutation transactions without approved architecture change.</w:t>
            </w:r>
          </w:p>
        </w:tc>
      </w:tr>
      <w:tr>
        <w:tc>
          <w:tcPr>
            <w:tcW w:type="dxa" w:w="2556"/>
          </w:tcPr>
          <w:p>
            <w:r>
              <w:t>NOTIF-FR-004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  <w:tc>
          <w:tcPr>
            <w:tcW w:type="dxa" w:w="2556"/>
          </w:tcPr>
          <w:p>
            <w:r>
              <w:t>MVP</w:t>
            </w:r>
          </w:p>
        </w:tc>
        <w:tc>
          <w:tcPr>
            <w:tcW w:type="dxa" w:w="2556"/>
          </w:tcPr>
          <w:p>
            <w:r>
              <w:t>Support retry/idempotency behavior sufficient to avoid unsafe duplicate delivery.</w:t>
            </w:r>
          </w:p>
        </w:tc>
      </w:tr>
    </w:tbl>
    <w:p>
      <w:pPr>
        <w:pStyle w:val="Heading1"/>
      </w:pPr>
      <w:r>
        <w:t>7. Notification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State</w:t>
            </w:r>
          </w:p>
        </w:tc>
        <w:tc>
          <w:tcPr>
            <w:tcW w:type="dxa" w:w="2556"/>
          </w:tcPr>
          <w:p>
            <w:r>
              <w:t>Meaning</w:t>
            </w:r>
          </w:p>
        </w:tc>
        <w:tc>
          <w:tcPr>
            <w:tcW w:type="dxa" w:w="2556"/>
          </w:tcPr>
          <w:p>
            <w:r>
              <w:t>Allowed Next States</w:t>
            </w:r>
          </w:p>
        </w:tc>
        <w:tc>
          <w:tcPr>
            <w:tcW w:type="dxa" w:w="2556"/>
          </w:tcPr>
          <w:p>
            <w:r>
              <w:t>Notes</w:t>
            </w:r>
          </w:p>
        </w:tc>
      </w:tr>
      <w:tr>
        <w:tc>
          <w:tcPr>
            <w:tcW w:type="dxa" w:w="2556"/>
          </w:tcPr>
          <w:p>
            <w:r>
              <w:t>PENDING</w:t>
            </w:r>
          </w:p>
        </w:tc>
        <w:tc>
          <w:tcPr>
            <w:tcW w:type="dxa" w:w="2556"/>
          </w:tcPr>
          <w:p>
            <w:r>
              <w:t>Durable notification intent committed and awaiting dispatch</w:t>
            </w:r>
          </w:p>
        </w:tc>
        <w:tc>
          <w:tcPr>
            <w:tcW w:type="dxa" w:w="2556"/>
          </w:tcPr>
          <w:p>
            <w:r>
              <w:t>CLAIMED, CANCELLED</w:t>
            </w:r>
          </w:p>
        </w:tc>
        <w:tc>
          <w:tcPr>
            <w:tcW w:type="dxa" w:w="2556"/>
          </w:tcPr>
          <w:p>
            <w:r>
              <w:t>Initial state.</w:t>
            </w:r>
          </w:p>
        </w:tc>
      </w:tr>
      <w:tr>
        <w:tc>
          <w:tcPr>
            <w:tcW w:type="dxa" w:w="2556"/>
          </w:tcPr>
          <w:p>
            <w:r>
              <w:t>CLAIMED</w:t>
            </w:r>
          </w:p>
        </w:tc>
        <w:tc>
          <w:tcPr>
            <w:tcW w:type="dxa" w:w="2556"/>
          </w:tcPr>
          <w:p>
            <w:r>
              <w:t>Worker has safely claimed the work</w:t>
            </w:r>
          </w:p>
        </w:tc>
        <w:tc>
          <w:tcPr>
            <w:tcW w:type="dxa" w:w="2556"/>
          </w:tcPr>
          <w:p>
            <w:r>
              <w:t>PROCESSING, PENDING, FAILED</w:t>
            </w:r>
          </w:p>
        </w:tc>
        <w:tc>
          <w:tcPr>
            <w:tcW w:type="dxa" w:w="2556"/>
          </w:tcPr>
          <w:p>
            <w:r>
              <w:t>Claim must be recoverable if worker dies.</w:t>
            </w:r>
          </w:p>
        </w:tc>
      </w:tr>
      <w:tr>
        <w:tc>
          <w:tcPr>
            <w:tcW w:type="dxa" w:w="2556"/>
          </w:tcPr>
          <w:p>
            <w:r>
              <w:t>PROCESSING</w:t>
            </w:r>
          </w:p>
        </w:tc>
        <w:tc>
          <w:tcPr>
            <w:tcW w:type="dxa" w:w="2556"/>
          </w:tcPr>
          <w:p>
            <w:r>
              <w:t>Provider operation is being attempted</w:t>
            </w:r>
          </w:p>
        </w:tc>
        <w:tc>
          <w:tcPr>
            <w:tcW w:type="dxa" w:w="2556"/>
          </w:tcPr>
          <w:p>
            <w:r>
              <w:t>SENT, RETRY_WAIT, FAILED</w:t>
            </w:r>
          </w:p>
        </w:tc>
        <w:tc>
          <w:tcPr>
            <w:tcW w:type="dxa" w:w="2556"/>
          </w:tcPr>
          <w:p>
            <w:r>
              <w:t>External provider call occurs here.</w:t>
            </w:r>
          </w:p>
        </w:tc>
      </w:tr>
      <w:tr>
        <w:tc>
          <w:tcPr>
            <w:tcW w:type="dxa" w:w="2556"/>
          </w:tcPr>
          <w:p>
            <w:r>
              <w:t>SENT</w:t>
            </w:r>
          </w:p>
        </w:tc>
        <w:tc>
          <w:tcPr>
            <w:tcW w:type="dxa" w:w="2556"/>
          </w:tcPr>
          <w:p>
            <w:r>
              <w:t>Provider accepted/confirmed delivery according to provider semantics</w:t>
            </w:r>
          </w:p>
        </w:tc>
        <w:tc>
          <w:tcPr>
            <w:tcW w:type="dxa" w:w="2556"/>
          </w:tcPr>
          <w:p>
            <w:r>
              <w:t>None</w:t>
            </w:r>
          </w:p>
        </w:tc>
        <w:tc>
          <w:tcPr>
            <w:tcW w:type="dxa" w:w="2556"/>
          </w:tcPr>
          <w:p>
            <w:r>
              <w:t>Terminal success for dispatcher.</w:t>
            </w:r>
          </w:p>
        </w:tc>
      </w:tr>
      <w:tr>
        <w:tc>
          <w:tcPr>
            <w:tcW w:type="dxa" w:w="2556"/>
          </w:tcPr>
          <w:p>
            <w:r>
              <w:t>RETRY_WAIT</w:t>
            </w:r>
          </w:p>
        </w:tc>
        <w:tc>
          <w:tcPr>
            <w:tcW w:type="dxa" w:w="2556"/>
          </w:tcPr>
          <w:p>
            <w:r>
              <w:t>Retry scheduled after transient failure</w:t>
            </w:r>
          </w:p>
        </w:tc>
        <w:tc>
          <w:tcPr>
            <w:tcW w:type="dxa" w:w="2556"/>
          </w:tcPr>
          <w:p>
            <w:r>
              <w:t>PENDING, FAILED</w:t>
            </w:r>
          </w:p>
        </w:tc>
        <w:tc>
          <w:tcPr>
            <w:tcW w:type="dxa" w:w="2556"/>
          </w:tcPr>
          <w:p>
            <w:r>
              <w:t>Backoff applies.</w:t>
            </w:r>
          </w:p>
        </w:tc>
      </w:tr>
      <w:tr>
        <w:tc>
          <w:tcPr>
            <w:tcW w:type="dxa" w:w="2556"/>
          </w:tcPr>
          <w:p>
            <w:r>
              <w:t>FAILED</w:t>
            </w:r>
          </w:p>
        </w:tc>
        <w:tc>
          <w:tcPr>
            <w:tcW w:type="dxa" w:w="2556"/>
          </w:tcPr>
          <w:p>
            <w:r>
              <w:t>Terminal/administrative failure</w:t>
            </w:r>
          </w:p>
        </w:tc>
        <w:tc>
          <w:tcPr>
            <w:tcW w:type="dxa" w:w="2556"/>
          </w:tcPr>
          <w:p>
            <w:r>
              <w:t>None or controlled retry</w:t>
            </w:r>
          </w:p>
        </w:tc>
        <w:tc>
          <w:tcPr>
            <w:tcW w:type="dxa" w:w="2556"/>
          </w:tcPr>
          <w:p>
            <w:r>
              <w:t>Must be observable and reviewable.</w:t>
            </w:r>
          </w:p>
        </w:tc>
      </w:tr>
      <w:tr>
        <w:tc>
          <w:tcPr>
            <w:tcW w:type="dxa" w:w="2556"/>
          </w:tcPr>
          <w:p>
            <w:r>
              <w:t>CANCELLED</w:t>
            </w:r>
          </w:p>
        </w:tc>
        <w:tc>
          <w:tcPr>
            <w:tcW w:type="dxa" w:w="2556"/>
          </w:tcPr>
          <w:p>
            <w:r>
              <w:t>Work intentionally prevented from dispatch</w:t>
            </w:r>
          </w:p>
        </w:tc>
        <w:tc>
          <w:tcPr>
            <w:tcW w:type="dxa" w:w="2556"/>
          </w:tcPr>
          <w:p>
            <w:r>
              <w:t>None</w:t>
            </w:r>
          </w:p>
        </w:tc>
        <w:tc>
          <w:tcPr>
            <w:tcW w:type="dxa" w:w="2556"/>
          </w:tcPr>
          <w:p>
            <w:r>
              <w:t>Controlled administrative/domain action.</w:t>
            </w:r>
          </w:p>
        </w:tc>
      </w:tr>
    </w:tbl>
    <w:p>
      <w:pPr>
        <w:pStyle w:val="Heading1"/>
      </w:pPr>
      <w:r>
        <w:t>8. Outbox Record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Field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  <w:tc>
          <w:tcPr>
            <w:tcW w:type="dxa" w:w="2556"/>
          </w:tcPr>
          <w:p>
            <w:r>
              <w:t>Required</w:t>
            </w:r>
          </w:p>
        </w:tc>
        <w:tc>
          <w:tcPr>
            <w:tcW w:type="dxa" w:w="2556"/>
          </w:tcPr>
          <w:p>
            <w:r>
              <w:t>Security/Integrity Rule</w:t>
            </w:r>
          </w:p>
        </w:tc>
      </w:tr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Notification work identifier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Immutable.</w:t>
            </w:r>
          </w:p>
        </w:tc>
      </w:tr>
      <w:tr>
        <w:tc>
          <w:tcPr>
            <w:tcW w:type="dxa" w:w="2556"/>
          </w:tcPr>
          <w:p>
            <w:r>
              <w:t>organization_id</w:t>
            </w:r>
          </w:p>
        </w:tc>
        <w:tc>
          <w:tcPr>
            <w:tcW w:type="dxa" w:w="2556"/>
          </w:tcPr>
          <w:p>
            <w:r>
              <w:t>Tenant context</w:t>
            </w:r>
          </w:p>
        </w:tc>
        <w:tc>
          <w:tcPr>
            <w:tcW w:type="dxa" w:w="2556"/>
          </w:tcPr>
          <w:p>
            <w:r>
              <w:t>Yes for tenant-owned work</w:t>
            </w:r>
          </w:p>
        </w:tc>
        <w:tc>
          <w:tcPr>
            <w:tcW w:type="dxa" w:w="2556"/>
          </w:tcPr>
          <w:p>
            <w:r>
              <w:t>Never inferred only from client input.</w:t>
            </w:r>
          </w:p>
        </w:tc>
      </w:tr>
      <w:tr>
        <w:tc>
          <w:tcPr>
            <w:tcW w:type="dxa" w:w="2556"/>
          </w:tcPr>
          <w:p>
            <w:r>
              <w:t>event_type</w:t>
            </w:r>
          </w:p>
        </w:tc>
        <w:tc>
          <w:tcPr>
            <w:tcW w:type="dxa" w:w="2556"/>
          </w:tcPr>
          <w:p>
            <w:r>
              <w:t>Business event that generated notification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Controlled vocabulary.</w:t>
            </w:r>
          </w:p>
        </w:tc>
      </w:tr>
      <w:tr>
        <w:tc>
          <w:tcPr>
            <w:tcW w:type="dxa" w:w="2556"/>
          </w:tcPr>
          <w:p>
            <w:r>
              <w:t>channel</w:t>
            </w:r>
          </w:p>
        </w:tc>
        <w:tc>
          <w:tcPr>
            <w:tcW w:type="dxa" w:w="2556"/>
          </w:tcPr>
          <w:p>
            <w:r>
              <w:t>Email/SMS/WhatsApp/etc.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Controlled values.</w:t>
            </w:r>
          </w:p>
        </w:tc>
      </w:tr>
      <w:tr>
        <w:tc>
          <w:tcPr>
            <w:tcW w:type="dxa" w:w="2556"/>
          </w:tcPr>
          <w:p>
            <w:r>
              <w:t>recipient_reference</w:t>
            </w:r>
          </w:p>
        </w:tc>
        <w:tc>
          <w:tcPr>
            <w:tcW w:type="dxa" w:w="2556"/>
          </w:tcPr>
          <w:p>
            <w:r>
              <w:t>Safe recipient identity/reference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Avoid unnecessary sensitive duplication.</w:t>
            </w:r>
          </w:p>
        </w:tc>
      </w:tr>
      <w:tr>
        <w:tc>
          <w:tcPr>
            <w:tcW w:type="dxa" w:w="2556"/>
          </w:tcPr>
          <w:p>
            <w:r>
              <w:t>template_reference</w:t>
            </w:r>
          </w:p>
        </w:tc>
        <w:tc>
          <w:tcPr>
            <w:tcW w:type="dxa" w:w="2556"/>
          </w:tcPr>
          <w:p>
            <w:r>
              <w:t>Notification template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Versioned where required.</w:t>
            </w:r>
          </w:p>
        </w:tc>
      </w:tr>
      <w:tr>
        <w:tc>
          <w:tcPr>
            <w:tcW w:type="dxa" w:w="2556"/>
          </w:tcPr>
          <w:p>
            <w:r>
              <w:t>payload/reference</w:t>
            </w:r>
          </w:p>
        </w:tc>
        <w:tc>
          <w:tcPr>
            <w:tcW w:type="dxa" w:w="2556"/>
          </w:tcPr>
          <w:p>
            <w:r>
              <w:t>Data needed to render/send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Minimize sensitive data; protect appropriately.</w:t>
            </w:r>
          </w:p>
        </w:tc>
      </w:tr>
      <w:tr>
        <w:tc>
          <w:tcPr>
            <w:tcW w:type="dxa" w:w="2556"/>
          </w:tcPr>
          <w:p>
            <w:r>
              <w:t>status</w:t>
            </w:r>
          </w:p>
        </w:tc>
        <w:tc>
          <w:tcPr>
            <w:tcW w:type="dxa" w:w="2556"/>
          </w:tcPr>
          <w:p>
            <w:r>
              <w:t>Processing lifecycle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State transitions controlled.</w:t>
            </w:r>
          </w:p>
        </w:tc>
      </w:tr>
      <w:tr>
        <w:tc>
          <w:tcPr>
            <w:tcW w:type="dxa" w:w="2556"/>
          </w:tcPr>
          <w:p>
            <w:r>
              <w:t>attempt_count</w:t>
            </w:r>
          </w:p>
        </w:tc>
        <w:tc>
          <w:tcPr>
            <w:tcW w:type="dxa" w:w="2556"/>
          </w:tcPr>
          <w:p>
            <w:r>
              <w:t>Retry tracking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Non-negative.</w:t>
            </w:r>
          </w:p>
        </w:tc>
      </w:tr>
      <w:tr>
        <w:tc>
          <w:tcPr>
            <w:tcW w:type="dxa" w:w="2556"/>
          </w:tcPr>
          <w:p>
            <w:r>
              <w:t>available_at</w:t>
            </w:r>
          </w:p>
        </w:tc>
        <w:tc>
          <w:tcPr>
            <w:tcW w:type="dxa" w:w="2556"/>
          </w:tcPr>
          <w:p>
            <w:r>
              <w:t>Earliest dispatch time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UTC timestamp.</w:t>
            </w:r>
          </w:p>
        </w:tc>
      </w:tr>
      <w:tr>
        <w:tc>
          <w:tcPr>
            <w:tcW w:type="dxa" w:w="2556"/>
          </w:tcPr>
          <w:p>
            <w:r>
              <w:t>claimed_at / lease</w:t>
            </w:r>
          </w:p>
        </w:tc>
        <w:tc>
          <w:tcPr>
            <w:tcW w:type="dxa" w:w="2556"/>
          </w:tcPr>
          <w:p>
            <w:r>
              <w:t>Worker claim metadata</w:t>
            </w:r>
          </w:p>
        </w:tc>
        <w:tc>
          <w:tcPr>
            <w:tcW w:type="dxa" w:w="2556"/>
          </w:tcPr>
          <w:p>
            <w:r>
              <w:t>As applicable</w:t>
            </w:r>
          </w:p>
        </w:tc>
        <w:tc>
          <w:tcPr>
            <w:tcW w:type="dxa" w:w="2556"/>
          </w:tcPr>
          <w:p>
            <w:r>
              <w:t>Supports recovery.</w:t>
            </w:r>
          </w:p>
        </w:tc>
      </w:tr>
      <w:tr>
        <w:tc>
          <w:tcPr>
            <w:tcW w:type="dxa" w:w="2556"/>
          </w:tcPr>
          <w:p>
            <w:r>
              <w:t>last_error</w:t>
            </w:r>
          </w:p>
        </w:tc>
        <w:tc>
          <w:tcPr>
            <w:tcW w:type="dxa" w:w="2556"/>
          </w:tcPr>
          <w:p>
            <w:r>
              <w:t>Safe failure detail</w:t>
            </w:r>
          </w:p>
        </w:tc>
        <w:tc>
          <w:tcPr>
            <w:tcW w:type="dxa" w:w="2556"/>
          </w:tcPr>
          <w:p>
            <w:r>
              <w:t>As applicable</w:t>
            </w:r>
          </w:p>
        </w:tc>
        <w:tc>
          <w:tcPr>
            <w:tcW w:type="dxa" w:w="2556"/>
          </w:tcPr>
          <w:p>
            <w:r>
              <w:t>Must not contain secrets.</w:t>
            </w:r>
          </w:p>
        </w:tc>
      </w:tr>
      <w:tr>
        <w:tc>
          <w:tcPr>
            <w:tcW w:type="dxa" w:w="2556"/>
          </w:tcPr>
          <w:p>
            <w:r>
              <w:t>created_at / updated_at</w:t>
            </w:r>
          </w:p>
        </w:tc>
        <w:tc>
          <w:tcPr>
            <w:tcW w:type="dxa" w:w="2556"/>
          </w:tcPr>
          <w:p>
            <w:r>
              <w:t>Lifecycle timestamps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UTC.</w:t>
            </w:r>
          </w:p>
        </w:tc>
      </w:tr>
    </w:tbl>
    <w:p>
      <w:pPr>
        <w:pStyle w:val="Heading1"/>
      </w:pPr>
      <w:r>
        <w:t>9. Transactional Outbox Rules</w:t>
      </w:r>
    </w:p>
    <w:p>
      <w:pPr>
        <w:pStyle w:val="ListBullet"/>
      </w:pPr>
      <w:r>
        <w:t>The originating domain transaction creates the outbox record when a notification is required.</w:t>
      </w:r>
    </w:p>
    <w:p>
      <w:pPr>
        <w:pStyle w:val="ListBullet"/>
      </w:pPr>
      <w:r>
        <w:t>The outbox insert commits atomically with the business state change and required history/audit.</w:t>
      </w:r>
    </w:p>
    <w:p>
      <w:pPr>
        <w:pStyle w:val="ListBullet"/>
      </w:pPr>
      <w:r>
        <w:t>No external network call occurs before the transaction commits.</w:t>
      </w:r>
    </w:p>
    <w:p>
      <w:pPr>
        <w:pStyle w:val="ListBullet"/>
      </w:pPr>
      <w:r>
        <w:t>If the transaction rolls back, no notification intent is considered committed.</w:t>
      </w:r>
    </w:p>
    <w:p>
      <w:pPr>
        <w:pStyle w:val="ListBullet"/>
      </w:pPr>
      <w:r>
        <w:t>If the transaction commits, notification intent must remain durable even if the dispatcher/provider is unavailable.</w:t>
      </w:r>
    </w:p>
    <w:p>
      <w:pPr>
        <w:pStyle w:val="Heading1"/>
      </w:pPr>
      <w:r>
        <w:t>10. Dispatcher Processing</w:t>
      </w:r>
    </w:p>
    <w:p>
      <w:pPr>
        <w:pStyle w:val="ListNumber"/>
      </w:pPr>
      <w:r>
        <w:t>Select eligible outbox records using safe concurrency control.</w:t>
      </w:r>
    </w:p>
    <w:p>
      <w:pPr>
        <w:pStyle w:val="ListNumber"/>
      </w:pPr>
      <w:r>
        <w:t>Claim/lease work so multiple workers do not process the same item unsafely.</w:t>
      </w:r>
    </w:p>
    <w:p>
      <w:pPr>
        <w:pStyle w:val="ListNumber"/>
      </w:pPr>
      <w:r>
        <w:t>Validate notification status and eligibility before provider execution.</w:t>
      </w:r>
    </w:p>
    <w:p>
      <w:pPr>
        <w:pStyle w:val="ListNumber"/>
      </w:pPr>
      <w:r>
        <w:t>Render/prepare the notification using approved template and channel configuration.</w:t>
      </w:r>
    </w:p>
    <w:p>
      <w:pPr>
        <w:pStyle w:val="ListNumber"/>
      </w:pPr>
      <w:r>
        <w:t>Call the provider only through the provider adapter.</w:t>
      </w:r>
    </w:p>
    <w:p>
      <w:pPr>
        <w:pStyle w:val="ListNumber"/>
      </w:pPr>
      <w:r>
        <w:t>Record success, retryable failure or terminal failure.</w:t>
      </w:r>
    </w:p>
    <w:p>
      <w:pPr>
        <w:pStyle w:val="ListNumber"/>
      </w:pPr>
      <w:r>
        <w:t>Release/expire claims safely if the worker terminates unexpectedly.</w:t>
      </w:r>
    </w:p>
    <w:p>
      <w:pPr>
        <w:pStyle w:val="ListNumber"/>
      </w:pPr>
      <w:r>
        <w:t>Emit operational metrics and structured logs with correlation identifiers.</w:t>
      </w:r>
    </w:p>
    <w:p>
      <w:pPr>
        <w:pStyle w:val="Heading1"/>
      </w:pPr>
      <w:r>
        <w:t>11. Provider Adapter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Layer</w:t>
            </w:r>
          </w:p>
        </w:tc>
        <w:tc>
          <w:tcPr>
            <w:tcW w:type="dxa" w:w="2556"/>
          </w:tcPr>
          <w:p>
            <w:r>
              <w:t>Responsibility</w:t>
            </w:r>
          </w:p>
        </w:tc>
        <w:tc>
          <w:tcPr>
            <w:tcW w:type="dxa" w:w="2556"/>
          </w:tcPr>
          <w:p>
            <w:r>
              <w:t>Examples</w:t>
            </w:r>
          </w:p>
        </w:tc>
        <w:tc>
          <w:tcPr>
            <w:tcW w:type="dxa" w:w="2556"/>
          </w:tcPr>
          <w:p>
            <w:r>
              <w:t>Rule</w:t>
            </w:r>
          </w:p>
        </w:tc>
      </w:tr>
      <w:tr>
        <w:tc>
          <w:tcPr>
            <w:tcW w:type="dxa" w:w="2556"/>
          </w:tcPr>
          <w:p>
            <w:r>
              <w:t>Notification Domain</w:t>
            </w:r>
          </w:p>
        </w:tc>
        <w:tc>
          <w:tcPr>
            <w:tcW w:type="dxa" w:w="2556"/>
          </w:tcPr>
          <w:p>
            <w:r>
              <w:t>Decides notification intent</w:t>
            </w:r>
          </w:p>
        </w:tc>
        <w:tc>
          <w:tcPr>
            <w:tcW w:type="dxa" w:w="2556"/>
          </w:tcPr>
          <w:p>
            <w:r>
              <w:t>Appointment reminder</w:t>
            </w:r>
          </w:p>
        </w:tc>
        <w:tc>
          <w:tcPr>
            <w:tcW w:type="dxa" w:w="2556"/>
          </w:tcPr>
          <w:p>
            <w:r>
              <w:t>No provider SDK.</w:t>
            </w:r>
          </w:p>
        </w:tc>
      </w:tr>
      <w:tr>
        <w:tc>
          <w:tcPr>
            <w:tcW w:type="dxa" w:w="2556"/>
          </w:tcPr>
          <w:p>
            <w:r>
              <w:t>Dispatcher</w:t>
            </w:r>
          </w:p>
        </w:tc>
        <w:tc>
          <w:tcPr>
            <w:tcW w:type="dxa" w:w="2556"/>
          </w:tcPr>
          <w:p>
            <w:r>
              <w:t>Executes notification work</w:t>
            </w:r>
          </w:p>
        </w:tc>
        <w:tc>
          <w:tcPr>
            <w:tcW w:type="dxa" w:w="2556"/>
          </w:tcPr>
          <w:p>
            <w:r>
              <w:t>Worker</w:t>
            </w:r>
          </w:p>
        </w:tc>
        <w:tc>
          <w:tcPr>
            <w:tcW w:type="dxa" w:w="2556"/>
          </w:tcPr>
          <w:p>
            <w:r>
              <w:t>No provider-specific business logic.</w:t>
            </w:r>
          </w:p>
        </w:tc>
      </w:tr>
      <w:tr>
        <w:tc>
          <w:tcPr>
            <w:tcW w:type="dxa" w:w="2556"/>
          </w:tcPr>
          <w:p>
            <w:r>
              <w:t>Provider Adapter</w:t>
            </w:r>
          </w:p>
        </w:tc>
        <w:tc>
          <w:tcPr>
            <w:tcW w:type="dxa" w:w="2556"/>
          </w:tcPr>
          <w:p>
            <w:r>
              <w:t>Translates domain-neutral request to provider API</w:t>
            </w:r>
          </w:p>
        </w:tc>
        <w:tc>
          <w:tcPr>
            <w:tcW w:type="dxa" w:w="2556"/>
          </w:tcPr>
          <w:p>
            <w:r>
              <w:t>SMTP adapter, Twilio adapter</w:t>
            </w:r>
          </w:p>
        </w:tc>
        <w:tc>
          <w:tcPr>
            <w:tcW w:type="dxa" w:w="2556"/>
          </w:tcPr>
          <w:p>
            <w:r>
              <w:t>Stable internal interface.</w:t>
            </w:r>
          </w:p>
        </w:tc>
      </w:tr>
      <w:tr>
        <w:tc>
          <w:tcPr>
            <w:tcW w:type="dxa" w:w="2556"/>
          </w:tcPr>
          <w:p>
            <w:r>
              <w:t>Provider</w:t>
            </w:r>
          </w:p>
        </w:tc>
        <w:tc>
          <w:tcPr>
            <w:tcW w:type="dxa" w:w="2556"/>
          </w:tcPr>
          <w:p>
            <w:r>
              <w:t>External delivery</w:t>
            </w:r>
          </w:p>
        </w:tc>
        <w:tc>
          <w:tcPr>
            <w:tcW w:type="dxa" w:w="2556"/>
          </w:tcPr>
          <w:p>
            <w:r>
              <w:t>SMTP/Twilio</w:t>
            </w:r>
          </w:p>
        </w:tc>
        <w:tc>
          <w:tcPr>
            <w:tcW w:type="dxa" w:w="2556"/>
          </w:tcPr>
          <w:p>
            <w:r>
              <w:t>External failure normalized.</w:t>
            </w:r>
          </w:p>
        </w:tc>
      </w:tr>
    </w:tbl>
    <w:p>
      <w:pPr>
        <w:pStyle w:val="Heading1"/>
      </w:pPr>
      <w:r>
        <w:t>12. Provider Interface Contract</w:t>
      </w:r>
    </w:p>
    <w:p>
      <w:pPr>
        <w:pStyle w:val="ListBullet"/>
      </w:pPr>
      <w:r>
        <w:t>send(notification_request) → provider_result.</w:t>
      </w:r>
    </w:p>
    <w:p>
      <w:pPr>
        <w:pStyle w:val="ListBullet"/>
      </w:pPr>
      <w:r>
        <w:t>Provider result must distinguish accepted/success, transient failure and terminal failure where provider semantics permit.</w:t>
      </w:r>
    </w:p>
    <w:p>
      <w:pPr>
        <w:pStyle w:val="ListBullet"/>
      </w:pPr>
      <w:r>
        <w:t>Provider adapters must not mutate appointment or other domain business state.</w:t>
      </w:r>
    </w:p>
    <w:p>
      <w:pPr>
        <w:pStyle w:val="ListBullet"/>
      </w:pPr>
      <w:r>
        <w:t>Provider credentials are obtained from secure configuration/secret management.</w:t>
      </w:r>
    </w:p>
    <w:p>
      <w:pPr>
        <w:pStyle w:val="ListBullet"/>
      </w:pPr>
      <w:r>
        <w:t>Provider SDK exceptions must be normalized into application-level error categories.</w:t>
      </w:r>
    </w:p>
    <w:p>
      <w:pPr>
        <w:pStyle w:val="Heading1"/>
      </w:pPr>
      <w:r>
        <w:t>13. Retry &amp; Backoff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Failure Type</w:t>
            </w:r>
          </w:p>
        </w:tc>
        <w:tc>
          <w:tcPr>
            <w:tcW w:type="dxa" w:w="2556"/>
          </w:tcPr>
          <w:p>
            <w:r>
              <w:t>Example</w:t>
            </w:r>
          </w:p>
        </w:tc>
        <w:tc>
          <w:tcPr>
            <w:tcW w:type="dxa" w:w="2556"/>
          </w:tcPr>
          <w:p>
            <w:r>
              <w:t>Action</w:t>
            </w:r>
          </w:p>
        </w:tc>
        <w:tc>
          <w:tcPr>
            <w:tcW w:type="dxa" w:w="2556"/>
          </w:tcPr>
          <w:p>
            <w:r>
              <w:t>Rule</w:t>
            </w:r>
          </w:p>
        </w:tc>
      </w:tr>
      <w:tr>
        <w:tc>
          <w:tcPr>
            <w:tcW w:type="dxa" w:w="2556"/>
          </w:tcPr>
          <w:p>
            <w:r>
              <w:t>Transient</w:t>
            </w:r>
          </w:p>
        </w:tc>
        <w:tc>
          <w:tcPr>
            <w:tcW w:type="dxa" w:w="2556"/>
          </w:tcPr>
          <w:p>
            <w:r>
              <w:t>Timeout, temporary provider outage</w:t>
            </w:r>
          </w:p>
        </w:tc>
        <w:tc>
          <w:tcPr>
            <w:tcW w:type="dxa" w:w="2556"/>
          </w:tcPr>
          <w:p>
            <w:r>
              <w:t>Retry with bounded exponential/backoff schedule</w:t>
            </w:r>
          </w:p>
        </w:tc>
        <w:tc>
          <w:tcPr>
            <w:tcW w:type="dxa" w:w="2556"/>
          </w:tcPr>
          <w:p>
            <w:r>
              <w:t>No infinite retry.</w:t>
            </w:r>
          </w:p>
        </w:tc>
      </w:tr>
      <w:tr>
        <w:tc>
          <w:tcPr>
            <w:tcW w:type="dxa" w:w="2556"/>
          </w:tcPr>
          <w:p>
            <w:r>
              <w:t>Rate limit</w:t>
            </w:r>
          </w:p>
        </w:tc>
        <w:tc>
          <w:tcPr>
            <w:tcW w:type="dxa" w:w="2556"/>
          </w:tcPr>
          <w:p>
            <w:r>
              <w:t>Provider throttling</w:t>
            </w:r>
          </w:p>
        </w:tc>
        <w:tc>
          <w:tcPr>
            <w:tcW w:type="dxa" w:w="2556"/>
          </w:tcPr>
          <w:p>
            <w:r>
              <w:t>Retry after provider/requested delay</w:t>
            </w:r>
          </w:p>
        </w:tc>
        <w:tc>
          <w:tcPr>
            <w:tcW w:type="dxa" w:w="2556"/>
          </w:tcPr>
          <w:p>
            <w:r>
              <w:t>Respect provider limits.</w:t>
            </w:r>
          </w:p>
        </w:tc>
      </w:tr>
      <w:tr>
        <w:tc>
          <w:tcPr>
            <w:tcW w:type="dxa" w:w="2556"/>
          </w:tcPr>
          <w:p>
            <w:r>
              <w:t>Permanent</w:t>
            </w:r>
          </w:p>
        </w:tc>
        <w:tc>
          <w:tcPr>
            <w:tcW w:type="dxa" w:w="2556"/>
          </w:tcPr>
          <w:p>
            <w:r>
              <w:t>Invalid recipient, rejected message</w:t>
            </w:r>
          </w:p>
        </w:tc>
        <w:tc>
          <w:tcPr>
            <w:tcW w:type="dxa" w:w="2556"/>
          </w:tcPr>
          <w:p>
            <w:r>
              <w:t>Terminal failure or controlled correction/retry</w:t>
            </w:r>
          </w:p>
        </w:tc>
        <w:tc>
          <w:tcPr>
            <w:tcW w:type="dxa" w:w="2556"/>
          </w:tcPr>
          <w:p>
            <w:r>
              <w:t>Do not blindly retry.</w:t>
            </w:r>
          </w:p>
        </w:tc>
      </w:tr>
      <w:tr>
        <w:tc>
          <w:tcPr>
            <w:tcW w:type="dxa" w:w="2556"/>
          </w:tcPr>
          <w:p>
            <w:r>
              <w:t>Unknown</w:t>
            </w:r>
          </w:p>
        </w:tc>
        <w:tc>
          <w:tcPr>
            <w:tcW w:type="dxa" w:w="2556"/>
          </w:tcPr>
          <w:p>
            <w:r>
              <w:t>Unexpected adapter error</w:t>
            </w:r>
          </w:p>
        </w:tc>
        <w:tc>
          <w:tcPr>
            <w:tcW w:type="dxa" w:w="2556"/>
          </w:tcPr>
          <w:p>
            <w:r>
              <w:t>Bounded retry + alert/inspection</w:t>
            </w:r>
          </w:p>
        </w:tc>
        <w:tc>
          <w:tcPr>
            <w:tcW w:type="dxa" w:w="2556"/>
          </w:tcPr>
          <w:p>
            <w:r>
              <w:t>Capture safe diagnostic context.</w:t>
            </w:r>
          </w:p>
        </w:tc>
      </w:tr>
    </w:tbl>
    <w:p>
      <w:pPr>
        <w:pStyle w:val="Heading1"/>
      </w:pPr>
      <w:r>
        <w:t>14. Idempotency &amp; Duplicate Delivery</w:t>
      </w:r>
    </w:p>
    <w:p>
      <w:pPr>
        <w:pStyle w:val="ListBullet"/>
      </w:pPr>
      <w:r>
        <w:t>Each notification work item has a stable unique identifier.</w:t>
      </w:r>
    </w:p>
    <w:p>
      <w:pPr>
        <w:pStyle w:val="ListBullet"/>
      </w:pPr>
      <w:r>
        <w:t>Dispatcher processing must be safe under worker retry.</w:t>
      </w:r>
    </w:p>
    <w:p>
      <w:pPr>
        <w:pStyle w:val="ListBullet"/>
      </w:pPr>
      <w:r>
        <w:t>Provider requests should use provider-supported idempotency mechanisms where available.</w:t>
      </w:r>
    </w:p>
    <w:p>
      <w:pPr>
        <w:pStyle w:val="ListBullet"/>
      </w:pPr>
      <w:r>
        <w:t>If provider idempotency is unavailable, application-level deduplication must be evaluated for the channel and message type.</w:t>
      </w:r>
    </w:p>
    <w:p>
      <w:pPr>
        <w:pStyle w:val="ListBullet"/>
      </w:pPr>
      <w:r>
        <w:t>A notification must not be marked SENT before the provider result satisfies the configured success condition.</w:t>
      </w:r>
    </w:p>
    <w:p>
      <w:pPr>
        <w:pStyle w:val="Heading1"/>
      </w:pPr>
      <w:r>
        <w:t>15. Worker Concurrency &amp; Recovery</w:t>
      </w:r>
    </w:p>
    <w:p>
      <w:pPr>
        <w:pStyle w:val="ListBullet"/>
      </w:pPr>
      <w:r>
        <w:t>Workers must safely claim work using row locking, lease/claim state or an equivalent mechanism.</w:t>
      </w:r>
    </w:p>
    <w:p>
      <w:pPr>
        <w:pStyle w:val="ListBullet"/>
      </w:pPr>
      <w:r>
        <w:t>A worker crash must not permanently strand a notification in CLAIMED/PROCESSING.</w:t>
      </w:r>
    </w:p>
    <w:p>
      <w:pPr>
        <w:pStyle w:val="ListBullet"/>
      </w:pPr>
      <w:r>
        <w:t>Lease expiration or recovery logic must make eligible work visible again.</w:t>
      </w:r>
    </w:p>
    <w:p>
      <w:pPr>
        <w:pStyle w:val="ListBullet"/>
      </w:pPr>
      <w:r>
        <w:t>Concurrent workers must not produce uncontrolled duplicate provider calls.</w:t>
      </w:r>
    </w:p>
    <w:p>
      <w:pPr>
        <w:pStyle w:val="ListBullet"/>
      </w:pPr>
      <w:r>
        <w:t>Worker throughput and backlog must be observable.</w:t>
      </w:r>
    </w:p>
    <w:p>
      <w:pPr>
        <w:pStyle w:val="Heading1"/>
      </w:pPr>
      <w:r>
        <w:t>16. Notification Templates</w:t>
      </w:r>
    </w:p>
    <w:p>
      <w:pPr>
        <w:pStyle w:val="ListBullet"/>
      </w:pPr>
      <w:r>
        <w:t>Templates should be versioned when content changes must be traceable.</w:t>
      </w:r>
    </w:p>
    <w:p>
      <w:pPr>
        <w:pStyle w:val="ListBullet"/>
      </w:pPr>
      <w:r>
        <w:t>Templates must be channel-aware.</w:t>
      </w:r>
    </w:p>
    <w:p>
      <w:pPr>
        <w:pStyle w:val="ListBullet"/>
      </w:pPr>
      <w:r>
        <w:t>Template rendering must not execute arbitrary code.</w:t>
      </w:r>
    </w:p>
    <w:p>
      <w:pPr>
        <w:pStyle w:val="ListBullet"/>
      </w:pPr>
      <w:r>
        <w:t>Sensitive patient data should be minimized in message content.</w:t>
      </w:r>
    </w:p>
    <w:p>
      <w:pPr>
        <w:pStyle w:val="ListBullet"/>
      </w:pPr>
      <w:r>
        <w:t>Localization should be supported as a configuration capability where required.</w:t>
      </w:r>
    </w:p>
    <w:p>
      <w:pPr>
        <w:pStyle w:val="ListBullet"/>
      </w:pPr>
      <w:r>
        <w:t>Template changes that affect regulated/clinical communication should have appropriate review.</w:t>
      </w:r>
    </w:p>
    <w:p>
      <w:pPr>
        <w:pStyle w:val="Heading1"/>
      </w:pPr>
      <w:r>
        <w:t>17. Recipient &amp; Preference Rules</w:t>
      </w:r>
    </w:p>
    <w:p>
      <w:pPr>
        <w:pStyle w:val="ListBullet"/>
      </w:pPr>
      <w:r>
        <w:t>Recipient identity must come from an authorized domain source.</w:t>
      </w:r>
    </w:p>
    <w:p>
      <w:pPr>
        <w:pStyle w:val="ListBullet"/>
      </w:pPr>
      <w:r>
        <w:t>Notification preferences and consent rules must be respected where applicable.</w:t>
      </w:r>
    </w:p>
    <w:p>
      <w:pPr>
        <w:pStyle w:val="ListBullet"/>
      </w:pPr>
      <w:r>
        <w:t>The notification domain must not invent recipient contact details.</w:t>
      </w:r>
    </w:p>
    <w:p>
      <w:pPr>
        <w:pStyle w:val="ListBullet"/>
      </w:pPr>
      <w:r>
        <w:t>A missing/invalid recipient should produce a controlled failure rather than a malformed provider request.</w:t>
      </w:r>
    </w:p>
    <w:p>
      <w:pPr>
        <w:pStyle w:val="ListBullet"/>
      </w:pPr>
      <w:r>
        <w:t>Tenant/organization notification configuration must not leak across tenants.</w:t>
      </w:r>
    </w:p>
    <w:p>
      <w:pPr>
        <w:pStyle w:val="Heading1"/>
      </w:pPr>
      <w:r>
        <w:t>18. Appointment Integration</w:t>
      </w:r>
    </w:p>
    <w:p>
      <w:r>
        <w:rPr>
          <w:b/>
        </w:rPr>
        <w:t>Appointment Domain owns WHEN a notification is required; Notification Domain owns HOW the notification is processed and delivered.</w:t>
      </w:r>
    </w:p>
    <w:p>
      <w:pPr>
        <w:pStyle w:val="ListBullet"/>
      </w:pPr>
      <w:r>
        <w:t>Appointment mutation creates notification intent as part of the same transaction.</w:t>
      </w:r>
    </w:p>
    <w:p>
      <w:pPr>
        <w:pStyle w:val="ListBullet"/>
      </w:pPr>
      <w:r>
        <w:t>Notification does not change appointment state.</w:t>
      </w:r>
    </w:p>
    <w:p>
      <w:pPr>
        <w:pStyle w:val="ListBullet"/>
      </w:pPr>
      <w:r>
        <w:t>Notification delivery outcome does not redefine appointment business state.</w:t>
      </w:r>
    </w:p>
    <w:p>
      <w:pPr>
        <w:pStyle w:val="ListBullet"/>
      </w:pPr>
      <w:r>
        <w:t>A failed reminder must not turn a confirmed appointment into a failed appointment.</w:t>
      </w:r>
    </w:p>
    <w:p>
      <w:pPr>
        <w:pStyle w:val="ListBullet"/>
      </w:pPr>
      <w:r>
        <w:t>Notification history may be linked to appointment identifiers for audit/support purposes.</w:t>
      </w:r>
    </w:p>
    <w:p>
      <w:pPr>
        <w:pStyle w:val="Heading1"/>
      </w:pPr>
      <w:r>
        <w:t>19. Other Domain Integrations</w:t>
      </w:r>
    </w:p>
    <w:p>
      <w:pPr>
        <w:pStyle w:val="ListBullet"/>
      </w:pPr>
      <w:r>
        <w:t>Patient: recipient/contact source and communication preferences.</w:t>
      </w:r>
    </w:p>
    <w:p>
      <w:pPr>
        <w:pStyle w:val="ListBullet"/>
      </w:pPr>
      <w:r>
        <w:t>Billing: invoice/payment reminders where approved.</w:t>
      </w:r>
    </w:p>
    <w:p>
      <w:pPr>
        <w:pStyle w:val="ListBullet"/>
      </w:pPr>
      <w:r>
        <w:t>Clinical: patient education or clinician-approved communications.</w:t>
      </w:r>
    </w:p>
    <w:p>
      <w:pPr>
        <w:pStyle w:val="ListBullet"/>
      </w:pPr>
      <w:r>
        <w:t>CRM: campaign/recall communications under consent and marketing controls.</w:t>
      </w:r>
    </w:p>
    <w:p>
      <w:pPr>
        <w:pStyle w:val="ListBullet"/>
      </w:pPr>
      <w:r>
        <w:t>Administration: provider configuration and notification policy.</w:t>
      </w:r>
    </w:p>
    <w:p>
      <w:pPr>
        <w:pStyle w:val="Heading1"/>
      </w:pPr>
      <w:r>
        <w:t>20. Security &amp; Privacy Rules</w:t>
      </w:r>
    </w:p>
    <w:p>
      <w:pPr>
        <w:pStyle w:val="ListBullet"/>
      </w:pPr>
      <w:r>
        <w:t>Never store provider credentials in the outbox.</w:t>
      </w:r>
    </w:p>
    <w:p>
      <w:pPr>
        <w:pStyle w:val="ListBullet"/>
      </w:pPr>
      <w:r>
        <w:t>Never place secrets or authentication tokens in notification payloads unless explicitly required and protected.</w:t>
      </w:r>
    </w:p>
    <w:p>
      <w:pPr>
        <w:pStyle w:val="ListBullet"/>
      </w:pPr>
      <w:r>
        <w:t>Avoid unnecessary clinical/financial data in logs and provider messages.</w:t>
      </w:r>
    </w:p>
    <w:p>
      <w:pPr>
        <w:pStyle w:val="ListBullet"/>
      </w:pPr>
      <w:r>
        <w:t>Tenant context is mandatory for tenant-owned notification work.</w:t>
      </w:r>
    </w:p>
    <w:p>
      <w:pPr>
        <w:pStyle w:val="ListBullet"/>
      </w:pPr>
      <w:r>
        <w:t>Provider access credentials use secure secret management.</w:t>
      </w:r>
    </w:p>
    <w:p>
      <w:pPr>
        <w:pStyle w:val="ListBullet"/>
      </w:pPr>
      <w:r>
        <w:t>Notification data access is restricted by tenant and operational role.</w:t>
      </w:r>
    </w:p>
    <w:p>
      <w:pPr>
        <w:pStyle w:val="Heading1"/>
      </w:pPr>
      <w:r>
        <w:t>21. Audit &amp; Observability</w:t>
      </w:r>
    </w:p>
    <w:p>
      <w:pPr>
        <w:pStyle w:val="ListBullet"/>
      </w:pPr>
      <w:r>
        <w:t>Record notification lifecycle events required for operational accountability.</w:t>
      </w:r>
    </w:p>
    <w:p>
      <w:pPr>
        <w:pStyle w:val="ListBullet"/>
      </w:pPr>
      <w:r>
        <w:t>Maintain correlation IDs linking originating business transaction to notification processing.</w:t>
      </w:r>
    </w:p>
    <w:p>
      <w:pPr>
        <w:pStyle w:val="ListBullet"/>
      </w:pPr>
      <w:r>
        <w:t>Metrics should include pending count, processing latency, success rate, retry count, terminal failure count and provider failure rate.</w:t>
      </w:r>
    </w:p>
    <w:p>
      <w:pPr>
        <w:pStyle w:val="ListBullet"/>
      </w:pPr>
      <w:r>
        <w:t>Alerts should be defined for sustained backlog, high failure rates and provider outages.</w:t>
      </w:r>
    </w:p>
    <w:p>
      <w:pPr>
        <w:pStyle w:val="ListBullet"/>
      </w:pPr>
      <w:r>
        <w:t>Operational logs must be safe for production and avoid sensitive payloads.</w:t>
      </w:r>
    </w:p>
    <w:p>
      <w:pPr>
        <w:pStyle w:val="Heading1"/>
      </w:pPr>
      <w:r>
        <w:t>22. Error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Category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  <w:tc>
          <w:tcPr>
            <w:tcW w:type="dxa" w:w="3408"/>
          </w:tcPr>
          <w:p>
            <w:r>
              <w:t>Handling</w:t>
            </w:r>
          </w:p>
        </w:tc>
      </w:tr>
      <w:tr>
        <w:tc>
          <w:tcPr>
            <w:tcW w:type="dxa" w:w="3408"/>
          </w:tcPr>
          <w:p>
            <w:r>
              <w:t>Validation</w:t>
            </w:r>
          </w:p>
        </w:tc>
        <w:tc>
          <w:tcPr>
            <w:tcW w:type="dxa" w:w="3408"/>
          </w:tcPr>
          <w:p>
            <w:r>
              <w:t>Missing/invalid recipient</w:t>
            </w:r>
          </w:p>
        </w:tc>
        <w:tc>
          <w:tcPr>
            <w:tcW w:type="dxa" w:w="3408"/>
          </w:tcPr>
          <w:p>
            <w:r>
              <w:t>Terminal/controlled failure; no provider call.</w:t>
            </w:r>
          </w:p>
        </w:tc>
      </w:tr>
      <w:tr>
        <w:tc>
          <w:tcPr>
            <w:tcW w:type="dxa" w:w="3408"/>
          </w:tcPr>
          <w:p>
            <w:r>
              <w:t>Authorization/configuration</w:t>
            </w:r>
          </w:p>
        </w:tc>
        <w:tc>
          <w:tcPr>
            <w:tcW w:type="dxa" w:w="3408"/>
          </w:tcPr>
          <w:p>
            <w:r>
              <w:t>Tenant provider configuration missing</w:t>
            </w:r>
          </w:p>
        </w:tc>
        <w:tc>
          <w:tcPr>
            <w:tcW w:type="dxa" w:w="3408"/>
          </w:tcPr>
          <w:p>
            <w:r>
              <w:t>Controlled failure + operational alert.</w:t>
            </w:r>
          </w:p>
        </w:tc>
      </w:tr>
      <w:tr>
        <w:tc>
          <w:tcPr>
            <w:tcW w:type="dxa" w:w="3408"/>
          </w:tcPr>
          <w:p>
            <w:r>
              <w:t>Transient provider</w:t>
            </w:r>
          </w:p>
        </w:tc>
        <w:tc>
          <w:tcPr>
            <w:tcW w:type="dxa" w:w="3408"/>
          </w:tcPr>
          <w:p>
            <w:r>
              <w:t>Timeout</w:t>
            </w:r>
          </w:p>
        </w:tc>
        <w:tc>
          <w:tcPr>
            <w:tcW w:type="dxa" w:w="3408"/>
          </w:tcPr>
          <w:p>
            <w:r>
              <w:t>Retry with bounded backoff.</w:t>
            </w:r>
          </w:p>
        </w:tc>
      </w:tr>
      <w:tr>
        <w:tc>
          <w:tcPr>
            <w:tcW w:type="dxa" w:w="3408"/>
          </w:tcPr>
          <w:p>
            <w:r>
              <w:t>Permanent provider</w:t>
            </w:r>
          </w:p>
        </w:tc>
        <w:tc>
          <w:tcPr>
            <w:tcW w:type="dxa" w:w="3408"/>
          </w:tcPr>
          <w:p>
            <w:r>
              <w:t>Invalid destination</w:t>
            </w:r>
          </w:p>
        </w:tc>
        <w:tc>
          <w:tcPr>
            <w:tcW w:type="dxa" w:w="3408"/>
          </w:tcPr>
          <w:p>
            <w:r>
              <w:t>Terminal failure / correction workflow.</w:t>
            </w:r>
          </w:p>
        </w:tc>
      </w:tr>
      <w:tr>
        <w:tc>
          <w:tcPr>
            <w:tcW w:type="dxa" w:w="3408"/>
          </w:tcPr>
          <w:p>
            <w:r>
              <w:t>Worker/infrastructure</w:t>
            </w:r>
          </w:p>
        </w:tc>
        <w:tc>
          <w:tcPr>
            <w:tcW w:type="dxa" w:w="3408"/>
          </w:tcPr>
          <w:p>
            <w:r>
              <w:t>Worker crash</w:t>
            </w:r>
          </w:p>
        </w:tc>
        <w:tc>
          <w:tcPr>
            <w:tcW w:type="dxa" w:w="3408"/>
          </w:tcPr>
          <w:p>
            <w:r>
              <w:t>Lease recovery; work becomes eligible again.</w:t>
            </w:r>
          </w:p>
        </w:tc>
      </w:tr>
    </w:tbl>
    <w:p>
      <w:pPr>
        <w:pStyle w:val="Heading1"/>
      </w:pPr>
      <w:r>
        <w:t>23. API Boundary</w:t>
      </w:r>
    </w:p>
    <w:p>
      <w:pPr>
        <w:pStyle w:val="ListBullet"/>
      </w:pPr>
      <w:r>
        <w:t>The notification dispatcher is primarily an internal application/service boundary.</w:t>
      </w:r>
    </w:p>
    <w:p>
      <w:pPr>
        <w:pStyle w:val="ListBullet"/>
      </w:pPr>
      <w:r>
        <w:t>Administrative APIs may expose notification configuration, delivery status and operational controls subject to authorization.</w:t>
      </w:r>
    </w:p>
    <w:p>
      <w:pPr>
        <w:pStyle w:val="ListBullet"/>
      </w:pPr>
      <w:r>
        <w:t>Public APIs must not allow arbitrary callers to inject provider credentials or unrestricted notification payloads.</w:t>
      </w:r>
    </w:p>
    <w:p>
      <w:pPr>
        <w:pStyle w:val="ListBullet"/>
      </w:pPr>
      <w:r>
        <w:t>API contracts are defined in Volume 06.</w:t>
      </w:r>
    </w:p>
    <w:p>
      <w:pPr>
        <w:pStyle w:val="Heading1"/>
      </w:pPr>
      <w:r>
        <w:t>24. Database Expectations</w:t>
      </w:r>
    </w:p>
    <w:p>
      <w:pPr>
        <w:pStyle w:val="ListBullet"/>
      </w:pPr>
      <w:r>
        <w:t>notification_outbox must be tenant-aware where the originating event is tenant-owned.</w:t>
      </w:r>
    </w:p>
    <w:p>
      <w:pPr>
        <w:pStyle w:val="ListBullet"/>
      </w:pPr>
      <w:r>
        <w:t>Indexes should support eligible-work polling by status/available_at and safe tenant/context filters.</w:t>
      </w:r>
    </w:p>
    <w:p>
      <w:pPr>
        <w:pStyle w:val="ListBullet"/>
      </w:pPr>
      <w:r>
        <w:t>Unique identifiers must support idempotency and correlation.</w:t>
      </w:r>
    </w:p>
    <w:p>
      <w:pPr>
        <w:pStyle w:val="ListBullet"/>
      </w:pPr>
      <w:r>
        <w:t>State transitions must be constrained through application logic and database invariants where appropriate.</w:t>
      </w:r>
    </w:p>
    <w:p>
      <w:pPr>
        <w:pStyle w:val="ListBullet"/>
      </w:pPr>
      <w:r>
        <w:t>Retention/archival must be defined according to operational and privacy requirements.</w:t>
      </w:r>
    </w:p>
    <w:p>
      <w:pPr>
        <w:pStyle w:val="Heading1"/>
      </w:pPr>
      <w:r>
        <w:t>25. Testing Requirements</w:t>
      </w:r>
    </w:p>
    <w:p>
      <w:pPr>
        <w:pStyle w:val="ListBullet"/>
      </w:pPr>
      <w:r>
        <w:t>Unit tests for state transitions and retry classification.</w:t>
      </w:r>
    </w:p>
    <w:p>
      <w:pPr>
        <w:pStyle w:val="ListBullet"/>
      </w:pPr>
      <w:r>
        <w:t>Integration test proving outbox creation is atomic with appointment mutation.</w:t>
      </w:r>
    </w:p>
    <w:p>
      <w:pPr>
        <w:pStyle w:val="ListBullet"/>
      </w:pPr>
      <w:r>
        <w:t>Integration test proving provider calls occur only after commit.</w:t>
      </w:r>
    </w:p>
    <w:p>
      <w:pPr>
        <w:pStyle w:val="ListBullet"/>
      </w:pPr>
      <w:r>
        <w:t>Dispatcher concurrency tests.</w:t>
      </w:r>
    </w:p>
    <w:p>
      <w:pPr>
        <w:pStyle w:val="ListBullet"/>
      </w:pPr>
      <w:r>
        <w:t>Worker crash/lease recovery tests.</w:t>
      </w:r>
    </w:p>
    <w:p>
      <w:pPr>
        <w:pStyle w:val="ListBullet"/>
      </w:pPr>
      <w:r>
        <w:t>Idempotency/duplicate-processing tests.</w:t>
      </w:r>
    </w:p>
    <w:p>
      <w:pPr>
        <w:pStyle w:val="ListBullet"/>
      </w:pPr>
      <w:r>
        <w:t>Provider success/transient/permanent failure tests.</w:t>
      </w:r>
    </w:p>
    <w:p>
      <w:pPr>
        <w:pStyle w:val="ListBullet"/>
      </w:pPr>
      <w:r>
        <w:t>Tenant-isolation tests.</w:t>
      </w:r>
    </w:p>
    <w:p>
      <w:pPr>
        <w:pStyle w:val="ListBullet"/>
      </w:pPr>
      <w:r>
        <w:t>Template rendering and sensitive-data tests.</w:t>
      </w:r>
    </w:p>
    <w:p>
      <w:pPr>
        <w:pStyle w:val="ListBullet"/>
      </w:pPr>
      <w:r>
        <w:t>End-to-end appointment notification workflow tests.</w:t>
      </w:r>
    </w:p>
    <w:p>
      <w:pPr>
        <w:pStyle w:val="Heading1"/>
      </w:pPr>
      <w:r>
        <w:t>26.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Requirement</w:t>
            </w:r>
          </w:p>
        </w:tc>
        <w:tc>
          <w:tcPr>
            <w:tcW w:type="dxa" w:w="1704"/>
          </w:tcPr>
          <w:p>
            <w:r>
              <w:t>Domain Rule</w:t>
            </w:r>
          </w:p>
        </w:tc>
        <w:tc>
          <w:tcPr>
            <w:tcW w:type="dxa" w:w="1704"/>
          </w:tcPr>
          <w:p>
            <w:r>
              <w:t>TDD</w:t>
            </w:r>
          </w:p>
        </w:tc>
        <w:tc>
          <w:tcPr>
            <w:tcW w:type="dxa" w:w="1704"/>
          </w:tcPr>
          <w:p>
            <w:r>
              <w:t>DB/API</w:t>
            </w:r>
          </w:p>
        </w:tc>
        <w:tc>
          <w:tcPr>
            <w:tcW w:type="dxa" w:w="1704"/>
          </w:tcPr>
          <w:p>
            <w:r>
              <w:t>Test</w:t>
            </w:r>
          </w:p>
        </w:tc>
        <w:tc>
          <w:tcPr>
            <w:tcW w:type="dxa" w:w="1704"/>
          </w:tcPr>
          <w:p>
            <w:r>
              <w:t>Status</w:t>
            </w:r>
          </w:p>
        </w:tc>
      </w:tr>
      <w:tr>
        <w:tc>
          <w:tcPr>
            <w:tcW w:type="dxa" w:w="1704"/>
          </w:tcPr>
          <w:p>
            <w:r>
              <w:t>NOTIF-FR-001</w:t>
            </w:r>
          </w:p>
        </w:tc>
        <w:tc>
          <w:tcPr>
            <w:tcW w:type="dxa" w:w="1704"/>
          </w:tcPr>
          <w:p>
            <w:r>
              <w:t>Transactional outbox</w:t>
            </w:r>
          </w:p>
        </w:tc>
        <w:tc>
          <w:tcPr>
            <w:tcW w:type="dxa" w:w="1704"/>
          </w:tcPr>
          <w:p>
            <w:r>
              <w:t>TDD §9</w:t>
            </w:r>
          </w:p>
        </w:tc>
        <w:tc>
          <w:tcPr>
            <w:tcW w:type="dxa" w:w="1704"/>
          </w:tcPr>
          <w:p>
            <w:r>
              <w:t>notification_outbox</w:t>
            </w:r>
          </w:p>
        </w:tc>
        <w:tc>
          <w:tcPr>
            <w:tcW w:type="dxa" w:w="1704"/>
          </w:tcPr>
          <w:p>
            <w:r>
              <w:t>NOTIF-TEST-001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</w:tr>
      <w:tr>
        <w:tc>
          <w:tcPr>
            <w:tcW w:type="dxa" w:w="1704"/>
          </w:tcPr>
          <w:p>
            <w:r>
              <w:t>NOTIF-FR-002</w:t>
            </w:r>
          </w:p>
        </w:tc>
        <w:tc>
          <w:tcPr>
            <w:tcW w:type="dxa" w:w="1704"/>
          </w:tcPr>
          <w:p>
            <w:r>
              <w:t>Asynchronous dispatcher</w:t>
            </w:r>
          </w:p>
        </w:tc>
        <w:tc>
          <w:tcPr>
            <w:tcW w:type="dxa" w:w="1704"/>
          </w:tcPr>
          <w:p>
            <w:r>
              <w:t>TDD §10</w:t>
            </w:r>
          </w:p>
        </w:tc>
        <w:tc>
          <w:tcPr>
            <w:tcW w:type="dxa" w:w="1704"/>
          </w:tcPr>
          <w:p>
            <w:r>
              <w:t>Dispatcher/worker</w:t>
            </w:r>
          </w:p>
        </w:tc>
        <w:tc>
          <w:tcPr>
            <w:tcW w:type="dxa" w:w="1704"/>
          </w:tcPr>
          <w:p>
            <w:r>
              <w:t>NOTIF-TEST-002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</w:tr>
      <w:tr>
        <w:tc>
          <w:tcPr>
            <w:tcW w:type="dxa" w:w="1704"/>
          </w:tcPr>
          <w:p>
            <w:r>
              <w:t>NOTIF-FR-003</w:t>
            </w:r>
          </w:p>
        </w:tc>
        <w:tc>
          <w:tcPr>
            <w:tcW w:type="dxa" w:w="1704"/>
          </w:tcPr>
          <w:p>
            <w:r>
              <w:t>No provider call in transaction</w:t>
            </w:r>
          </w:p>
        </w:tc>
        <w:tc>
          <w:tcPr>
            <w:tcW w:type="dxa" w:w="1704"/>
          </w:tcPr>
          <w:p>
            <w:r>
              <w:t>TDD §9/10</w:t>
            </w:r>
          </w:p>
        </w:tc>
        <w:tc>
          <w:tcPr>
            <w:tcW w:type="dxa" w:w="1704"/>
          </w:tcPr>
          <w:p>
            <w:r>
              <w:t>Provider adapters</w:t>
            </w:r>
          </w:p>
        </w:tc>
        <w:tc>
          <w:tcPr>
            <w:tcW w:type="dxa" w:w="1704"/>
          </w:tcPr>
          <w:p>
            <w:r>
              <w:t>NOTIF-TEST-003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</w:tr>
      <w:tr>
        <w:tc>
          <w:tcPr>
            <w:tcW w:type="dxa" w:w="1704"/>
          </w:tcPr>
          <w:p>
            <w:r>
              <w:t>NOTIF-FR-004</w:t>
            </w:r>
          </w:p>
        </w:tc>
        <w:tc>
          <w:tcPr>
            <w:tcW w:type="dxa" w:w="1704"/>
          </w:tcPr>
          <w:p>
            <w:r>
              <w:t>Retry/idempotency</w:t>
            </w:r>
          </w:p>
        </w:tc>
        <w:tc>
          <w:tcPr>
            <w:tcW w:type="dxa" w:w="1704"/>
          </w:tcPr>
          <w:p>
            <w:r>
              <w:t>TDD §14/15</w:t>
            </w:r>
          </w:p>
        </w:tc>
        <w:tc>
          <w:tcPr>
            <w:tcW w:type="dxa" w:w="1704"/>
          </w:tcPr>
          <w:p>
            <w:r>
              <w:t>Outbox state/claim</w:t>
            </w:r>
          </w:p>
        </w:tc>
        <w:tc>
          <w:tcPr>
            <w:tcW w:type="dxa" w:w="1704"/>
          </w:tcPr>
          <w:p>
            <w:r>
              <w:t>NOTIF-TEST-004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</w:tr>
      <w:tr>
        <w:tc>
          <w:tcPr>
            <w:tcW w:type="dxa" w:w="1704"/>
          </w:tcPr>
          <w:p>
            <w:r>
              <w:t>APT-FR-004</w:t>
            </w:r>
          </w:p>
        </w:tc>
        <w:tc>
          <w:tcPr>
            <w:tcW w:type="dxa" w:w="1704"/>
          </w:tcPr>
          <w:p>
            <w:r>
              <w:t>Appointment notification intent</w:t>
            </w:r>
          </w:p>
        </w:tc>
        <w:tc>
          <w:tcPr>
            <w:tcW w:type="dxa" w:w="1704"/>
          </w:tcPr>
          <w:p>
            <w:r>
              <w:t>Appointment Domain §14/15</w:t>
            </w:r>
          </w:p>
        </w:tc>
        <w:tc>
          <w:tcPr>
            <w:tcW w:type="dxa" w:w="1704"/>
          </w:tcPr>
          <w:p>
            <w:r>
              <w:t>Appointment + outbox</w:t>
            </w:r>
          </w:p>
        </w:tc>
        <w:tc>
          <w:tcPr>
            <w:tcW w:type="dxa" w:w="1704"/>
          </w:tcPr>
          <w:p>
            <w:r>
              <w:t>APT-NOTIF-TEST-*</w:t>
            </w:r>
          </w:p>
        </w:tc>
        <w:tc>
          <w:tcPr>
            <w:tcW w:type="dxa" w:w="1704"/>
          </w:tcPr>
          <w:p>
            <w:r>
              <w:t>PARTIAL</w:t>
            </w:r>
          </w:p>
        </w:tc>
      </w:tr>
    </w:tbl>
    <w:p>
      <w:pPr>
        <w:pStyle w:val="Heading1"/>
      </w:pPr>
      <w:r>
        <w:t>27. Operational Invariants</w:t>
      </w:r>
    </w:p>
    <w:p>
      <w:pPr>
        <w:pStyle w:val="ListBullet"/>
      </w:pPr>
      <w:r>
        <w:t>INV-NOTIF-001 — Required notification intent is committed atomically with its originating domain transaction.</w:t>
      </w:r>
    </w:p>
    <w:p>
      <w:pPr>
        <w:pStyle w:val="ListBullet"/>
      </w:pPr>
      <w:r>
        <w:t>INV-NOTIF-002 — External provider calls occur only after the originating transaction commits.</w:t>
      </w:r>
    </w:p>
    <w:p>
      <w:pPr>
        <w:pStyle w:val="ListBullet"/>
      </w:pPr>
      <w:r>
        <w:t>INV-NOTIF-003 — Provider failure does not roll back the originating business transaction.</w:t>
      </w:r>
    </w:p>
    <w:p>
      <w:pPr>
        <w:pStyle w:val="ListBullet"/>
      </w:pPr>
      <w:r>
        <w:t>INV-NOTIF-004 — Notification processing is tenant-aware.</w:t>
      </w:r>
    </w:p>
    <w:p>
      <w:pPr>
        <w:pStyle w:val="ListBullet"/>
      </w:pPr>
      <w:r>
        <w:t>INV-NOTIF-005 — Dispatcher retries are bounded and observable.</w:t>
      </w:r>
    </w:p>
    <w:p>
      <w:pPr>
        <w:pStyle w:val="ListBullet"/>
      </w:pPr>
      <w:r>
        <w:t>INV-NOTIF-006 — Worker crashes do not permanently strand claimed notification work.</w:t>
      </w:r>
    </w:p>
    <w:p>
      <w:pPr>
        <w:pStyle w:val="ListBullet"/>
      </w:pPr>
      <w:r>
        <w:t>INV-NOTIF-007 — Duplicate processing does not create unsafe duplicate business effects.</w:t>
      </w:r>
    </w:p>
    <w:p>
      <w:pPr>
        <w:pStyle w:val="ListBullet"/>
      </w:pPr>
      <w:r>
        <w:t>INV-NOTIF-008 — Provider credentials are never stored in notification work records.</w:t>
      </w:r>
    </w:p>
    <w:p>
      <w:pPr>
        <w:pStyle w:val="ListBullet"/>
      </w:pPr>
      <w:r>
        <w:t>INV-NOTIF-009 — Notification delivery state does not mutate the originating business state.</w:t>
      </w:r>
    </w:p>
    <w:p>
      <w:pPr>
        <w:pStyle w:val="Heading1"/>
      </w:pPr>
      <w:r>
        <w:t>28. Cursor Implementation Rules</w:t>
      </w:r>
    </w:p>
    <w:p>
      <w:pPr>
        <w:pStyle w:val="ListBullet"/>
      </w:pPr>
      <w:r>
        <w:t>Cursor must treat this specification as the Notification domain authority after approval/baselining.</w:t>
      </w:r>
    </w:p>
    <w:p>
      <w:pPr>
        <w:pStyle w:val="ListBullet"/>
      </w:pPr>
      <w:r>
        <w:t>Cursor must not move provider calls into appointment/domain transactions.</w:t>
      </w:r>
    </w:p>
    <w:p>
      <w:pPr>
        <w:pStyle w:val="ListBullet"/>
      </w:pPr>
      <w:r>
        <w:t>Cursor must not remove outbox durability in favor of fire-and-forget background calls.</w:t>
      </w:r>
    </w:p>
    <w:p>
      <w:pPr>
        <w:pStyle w:val="ListBullet"/>
      </w:pPr>
      <w:r>
        <w:t>Cursor must not add a new notification state without documenting its semantics and tests.</w:t>
      </w:r>
    </w:p>
    <w:p>
      <w:pPr>
        <w:pStyle w:val="ListBullet"/>
      </w:pPr>
      <w:r>
        <w:t>Provider SDKs must remain behind adapters.</w:t>
      </w:r>
    </w:p>
    <w:p>
      <w:pPr>
        <w:pStyle w:val="ListBullet"/>
      </w:pPr>
      <w:r>
        <w:t>Retry changes must include idempotency/concurrency analysis.</w:t>
      </w:r>
    </w:p>
    <w:p>
      <w:pPr>
        <w:pStyle w:val="ListBullet"/>
      </w:pPr>
      <w:r>
        <w:t>Any change to the outbox/dispatcher contract requires TDD, domain, QA and change-management updates.</w:t>
      </w:r>
    </w:p>
    <w:p>
      <w:pPr>
        <w:pStyle w:val="Heading1"/>
      </w:pPr>
      <w:r>
        <w:t>29. Definition of Done</w:t>
      </w:r>
    </w:p>
    <w:p>
      <w:pPr>
        <w:pStyle w:val="ListBullet"/>
      </w:pPr>
      <w:r>
        <w:t>Notification requirements are mapped in RTM.</w:t>
      </w:r>
    </w:p>
    <w:p>
      <w:pPr>
        <w:pStyle w:val="ListBullet"/>
      </w:pPr>
      <w:r>
        <w:t>Outbox schema is baselined.</w:t>
      </w:r>
    </w:p>
    <w:p>
      <w:pPr>
        <w:pStyle w:val="ListBullet"/>
      </w:pPr>
      <w:r>
        <w:t>Dispatcher claim/lease semantics are baselined.</w:t>
      </w:r>
    </w:p>
    <w:p>
      <w:pPr>
        <w:pStyle w:val="ListBullet"/>
      </w:pPr>
      <w:r>
        <w:t>Provider adapter interface is baselined.</w:t>
      </w:r>
    </w:p>
    <w:p>
      <w:pPr>
        <w:pStyle w:val="ListBullet"/>
      </w:pPr>
      <w:r>
        <w:t>Retry/backoff and terminal failure policy is baselined.</w:t>
      </w:r>
    </w:p>
    <w:p>
      <w:pPr>
        <w:pStyle w:val="ListBullet"/>
      </w:pPr>
      <w:r>
        <w:t>Idempotency strategy is tested.</w:t>
      </w:r>
    </w:p>
    <w:p>
      <w:pPr>
        <w:pStyle w:val="ListBullet"/>
      </w:pPr>
      <w:r>
        <w:t>Appointment integration is tested end-to-end.</w:t>
      </w:r>
    </w:p>
    <w:p>
      <w:pPr>
        <w:pStyle w:val="ListBullet"/>
      </w:pPr>
      <w:r>
        <w:t>Tenant isolation and security tests pass.</w:t>
      </w:r>
    </w:p>
    <w:p>
      <w:pPr>
        <w:pStyle w:val="ListBullet"/>
      </w:pPr>
      <w:r>
        <w:t>Operational metrics and alert thresholds are defined.</w:t>
      </w:r>
    </w:p>
    <w:p>
      <w:pPr>
        <w:pStyle w:val="ListBullet"/>
      </w:pPr>
      <w:r>
        <w:t>API/DDD/QA references are complete.</w:t>
      </w:r>
    </w:p>
    <w:p>
      <w:pPr>
        <w:pStyle w:val="Heading1"/>
      </w:pPr>
      <w:r>
        <w:t>30. Open Decisions / ADRs</w:t>
      </w:r>
    </w:p>
    <w:p>
      <w:pPr>
        <w:pStyle w:val="ListBullet"/>
      </w:pPr>
      <w:r>
        <w:t>ADR-NOTIF-001 — Exact outbox claim/lease implementation.</w:t>
      </w:r>
    </w:p>
    <w:p>
      <w:pPr>
        <w:pStyle w:val="ListBullet"/>
      </w:pPr>
      <w:r>
        <w:t>ADR-NOTIF-002 — Retry/backoff schedule and maximum attempts.</w:t>
      </w:r>
    </w:p>
    <w:p>
      <w:pPr>
        <w:pStyle w:val="ListBullet"/>
      </w:pPr>
      <w:r>
        <w:t>ADR-NOTIF-003 — Provider idempotency/deduplication strategy.</w:t>
      </w:r>
    </w:p>
    <w:p>
      <w:pPr>
        <w:pStyle w:val="ListBullet"/>
      </w:pPr>
      <w:r>
        <w:t>ADR-NOTIF-004 — Notification template storage/versioning.</w:t>
      </w:r>
    </w:p>
    <w:p>
      <w:pPr>
        <w:pStyle w:val="ListBullet"/>
      </w:pPr>
      <w:r>
        <w:t>ADR-NOTIF-005 — Notification retention and archival policy.</w:t>
      </w:r>
    </w:p>
    <w:p>
      <w:pPr>
        <w:pStyle w:val="ListBullet"/>
      </w:pPr>
      <w:r>
        <w:t>ADR-NOTIF-006 — Dead-letter/terminal failure operational workflow.</w:t>
      </w:r>
    </w:p>
    <w:p>
      <w:pPr>
        <w:pStyle w:val="Heading1"/>
      </w:pPr>
      <w:r>
        <w:t>31. Approval &amp; Baseline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Value</w:t>
            </w:r>
          </w:p>
        </w:tc>
        <w:tc>
          <w:tcPr>
            <w:tcW w:type="dxa" w:w="3408"/>
          </w:tcPr>
          <w:p>
            <w:r>
              <w:t>Notes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REVIEW</w:t>
            </w:r>
          </w:p>
        </w:tc>
        <w:tc>
          <w:tcPr>
            <w:tcW w:type="dxa" w:w="3408"/>
          </w:tcPr>
          <w:p>
            <w:r>
              <w:t>Not yet APPROVED/BASELINED.</w:t>
            </w:r>
          </w:p>
        </w:tc>
      </w:tr>
      <w:tr>
        <w:tc>
          <w:tcPr>
            <w:tcW w:type="dxa" w:w="3408"/>
          </w:tcPr>
          <w:p>
            <w:r>
              <w:t>Related Domain</w:t>
            </w:r>
          </w:p>
        </w:tc>
        <w:tc>
          <w:tcPr>
            <w:tcW w:type="dxa" w:w="3408"/>
          </w:tcPr>
          <w:p>
            <w:r>
              <w:t>TDA-DOM-APT-001</w:t>
            </w:r>
          </w:p>
        </w:tc>
        <w:tc>
          <w:tcPr>
            <w:tcW w:type="dxa" w:w="3408"/>
          </w:tcPr>
          <w:p>
            <w:r>
              <w:t>Appointment domain owns notification intent.</w:t>
            </w:r>
          </w:p>
        </w:tc>
      </w:tr>
      <w:tr>
        <w:tc>
          <w:tcPr>
            <w:tcW w:type="dxa" w:w="3408"/>
          </w:tcPr>
          <w:p>
            <w:r>
              <w:t>Critical Architecture</w:t>
            </w:r>
          </w:p>
        </w:tc>
        <w:tc>
          <w:tcPr>
            <w:tcW w:type="dxa" w:w="3408"/>
          </w:tcPr>
          <w:p>
            <w:r>
              <w:t>Transactional Outbox + Dispatcher</w:t>
            </w:r>
          </w:p>
        </w:tc>
        <w:tc>
          <w:tcPr>
            <w:tcW w:type="dxa" w:w="3408"/>
          </w:tcPr>
          <w:p>
            <w:r>
              <w:t>Protected technical invariant.</w:t>
            </w:r>
          </w:p>
        </w:tc>
      </w:tr>
      <w:tr>
        <w:tc>
          <w:tcPr>
            <w:tcW w:type="dxa" w:w="3408"/>
          </w:tcPr>
          <w:p>
            <w:r>
              <w:t>Inputs</w:t>
            </w:r>
          </w:p>
        </w:tc>
        <w:tc>
          <w:tcPr>
            <w:tcW w:type="dxa" w:w="3408"/>
          </w:tcPr>
          <w:p>
            <w:r>
              <w:t>BRD v1.1 / FRS v1.1 / TDD v1.1</w:t>
            </w:r>
          </w:p>
        </w:tc>
        <w:tc>
          <w:tcPr>
            <w:tcW w:type="dxa" w:w="3408"/>
          </w:tcPr>
          <w:p>
            <w:r>
              <w:t>Current controlled inputs are REVIEW.</w:t>
            </w:r>
          </w:p>
        </w:tc>
      </w:tr>
      <w:tr>
        <w:tc>
          <w:tcPr>
            <w:tcW w:type="dxa" w:w="3408"/>
          </w:tcPr>
          <w:p>
            <w:r>
              <w:t>Next dependencies</w:t>
            </w:r>
          </w:p>
        </w:tc>
        <w:tc>
          <w:tcPr>
            <w:tcW w:type="dxa" w:w="3408"/>
          </w:tcPr>
          <w:p>
            <w:r>
              <w:t>Notification DDD + API + Security + QA</w:t>
            </w:r>
          </w:p>
        </w:tc>
        <w:tc>
          <w:tcPr>
            <w:tcW w:type="dxa" w:w="3408"/>
          </w:tcPr>
          <w:p>
            <w:r>
              <w:t>Required for full production baseline.</w:t>
            </w:r>
          </w:p>
        </w:tc>
      </w:tr>
    </w:tbl>
    <w:p>
      <w:pPr>
        <w:pStyle w:val="Heading1"/>
      </w:pPr>
      <w:r>
        <w:t>32. Governance Statement</w:t>
      </w:r>
    </w:p>
    <w:p>
      <w:r>
        <w:rPr>
          <w:b/>
        </w:rPr>
        <w:t>The Notification domain is an asynchronous infrastructure-backed business capability. Its most important responsibility is preserving reliable notification intent after a business transaction commits while isolating the business domain from provider failures. The transactional outbox and dispatcher boundary is therefore a controlled architectural invariant.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