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VOLUMES 1–4 DOCUMENTATION AUDIT &amp; RATIONALIZATION REPORT</w:t>
      </w:r>
    </w:p>
    <w:p>
      <w:pPr>
        <w:jc w:val="center"/>
      </w:pPr>
      <w:r>
        <w:rPr>
          <w:b/>
          <w:sz w:val="26"/>
        </w:rPr>
        <w:t>Trinetra Digital Lab — Dental Appointment Management System</w:t>
      </w:r>
    </w:p>
    <w:p>
      <w:pPr>
        <w:jc w:val="center"/>
      </w:pPr>
      <w:r>
        <w:rPr>
          <w:i/>
        </w:rPr>
        <w:t>Document ID: TDA-GOV-AUD-001 | Version: 1.0 | Status: Controlled Audit Baseline | Date: 14 August 2026</w:t>
      </w:r>
    </w:p>
    <w:p>
      <w:pPr>
        <w:pStyle w:val="Heading1"/>
      </w:pPr>
      <w:r>
        <w:t>1. Executive Summary</w:t>
      </w:r>
    </w:p>
    <w:p>
      <w:r>
        <w:t>This audit reviews the four supplied documentation packages against TDA-GOV-MDI-001 (Master Documentation Index), TDA-GOV-SOT-001 (Source-of-Truth Policy), TDA-GOV-CMP-001 (Change Management Policy), and TDA-GOV-CUR-001 (Cursor Project Rules).</w:t>
      </w:r>
    </w:p>
    <w:p>
      <w:r>
        <w:t>The conclusion is positive: Volumes 1–4 contain substantial, useful engineering content and should not be discarded or rewritten from scratch. The main work is rationalization, traceability, status alignment, deeper technical detail in selected areas, and harmonization of the document-suite numbering.</w:t>
      </w:r>
    </w:p>
    <w:p>
      <w:r>
        <w:rPr>
          <w:b/>
        </w:rPr>
        <w:t>Overall recommendation: KEEP the existing content, then CONSOLIDATE, UPDATE, BASELINE and EXTEND it under the new governance model.</w:t>
      </w:r>
    </w:p>
    <w:p>
      <w:pPr>
        <w:pStyle w:val="Heading1"/>
      </w:pPr>
      <w:r>
        <w:t>2. Audit Scope &amp; Evidence</w:t>
      </w:r>
    </w:p>
    <w:p>
      <w:pPr>
        <w:pStyle w:val="ListBullet"/>
      </w:pPr>
      <w:r>
        <w:t>DentalCare AI Volume 1 — Business Requirements Document (BRD) v1.0.</w:t>
      </w:r>
    </w:p>
    <w:p>
      <w:pPr>
        <w:pStyle w:val="ListBullet"/>
      </w:pPr>
      <w:r>
        <w:t>DentalCare AI Volume 2 — Functional Requirements Specification (FRS) v1.0.</w:t>
      </w:r>
    </w:p>
    <w:p>
      <w:pPr>
        <w:pStyle w:val="ListBullet"/>
      </w:pPr>
      <w:r>
        <w:t>DentalCare AI Volume 3 — Technical Design Document (TDD) v1.0.</w:t>
      </w:r>
    </w:p>
    <w:p>
      <w:pPr>
        <w:pStyle w:val="ListBullet"/>
      </w:pPr>
      <w:r>
        <w:t>DentalCare AI Volume 4 — Database Design Document (DDD), Domain 1 — Foundation &amp; Identity v1.0.</w:t>
      </w:r>
    </w:p>
    <w:p>
      <w:r>
        <w:t>Each supplied ZIP contained both DOCX and Markdown representations. The audit used the supplied document content; roadmap entries were not treated as evidence that a future artifact already exists.</w:t>
      </w:r>
    </w:p>
    <w:p>
      <w:pPr>
        <w:pStyle w:val="Heading1"/>
      </w:pPr>
      <w:r>
        <w:t>3. Rationalization Decision Model</w:t>
      </w:r>
    </w:p>
    <w:tbl>
      <w:tblPr>
        <w:tblStyle w:val="TableGrid"/>
        <w:tblW w:type="auto" w:w="0"/>
        <w:tblLook w:firstColumn="1" w:firstRow="1" w:lastColumn="0" w:lastRow="0" w:noHBand="0" w:noVBand="1" w:val="04A0"/>
      </w:tblPr>
      <w:tblGrid>
        <w:gridCol w:w="3360"/>
        <w:gridCol w:w="3360"/>
        <w:gridCol w:w="3360"/>
      </w:tblGrid>
      <w:tr>
        <w:tc>
          <w:tcPr>
            <w:tcW w:type="dxa" w:w="3360"/>
          </w:tcPr>
          <w:p>
            <w:r>
              <w:t>Decision</w:t>
            </w:r>
          </w:p>
        </w:tc>
        <w:tc>
          <w:tcPr>
            <w:tcW w:type="dxa" w:w="3360"/>
          </w:tcPr>
          <w:p>
            <w:r>
              <w:t>Meaning</w:t>
            </w:r>
          </w:p>
        </w:tc>
        <w:tc>
          <w:tcPr>
            <w:tcW w:type="dxa" w:w="3360"/>
          </w:tcPr>
          <w:p>
            <w:r>
              <w:t>Action</w:t>
            </w:r>
          </w:p>
        </w:tc>
      </w:tr>
      <w:tr>
        <w:tc>
          <w:tcPr>
            <w:tcW w:type="dxa" w:w="3360"/>
          </w:tcPr>
          <w:p>
            <w:r>
              <w:t>KEEP</w:t>
            </w:r>
          </w:p>
        </w:tc>
        <w:tc>
          <w:tcPr>
            <w:tcW w:type="dxa" w:w="3360"/>
          </w:tcPr>
          <w:p>
            <w:r>
              <w:t>Existing content is valuable and structurally sound.</w:t>
            </w:r>
          </w:p>
        </w:tc>
        <w:tc>
          <w:tcPr>
            <w:tcW w:type="dxa" w:w="3360"/>
          </w:tcPr>
          <w:p>
            <w:r>
              <w:t>Retain as foundation.</w:t>
            </w:r>
          </w:p>
        </w:tc>
      </w:tr>
      <w:tr>
        <w:tc>
          <w:tcPr>
            <w:tcW w:type="dxa" w:w="3360"/>
          </w:tcPr>
          <w:p>
            <w:r>
              <w:t>CONSOLIDATE</w:t>
            </w:r>
          </w:p>
        </w:tc>
        <w:tc>
          <w:tcPr>
            <w:tcW w:type="dxa" w:w="3360"/>
          </w:tcPr>
          <w:p>
            <w:r>
              <w:t>Similar content or overlapping authority exists.</w:t>
            </w:r>
          </w:p>
        </w:tc>
        <w:tc>
          <w:tcPr>
            <w:tcW w:type="dxa" w:w="3360"/>
          </w:tcPr>
          <w:p>
            <w:r>
              <w:t>Choose one authoritative location and cross-reference.</w:t>
            </w:r>
          </w:p>
        </w:tc>
      </w:tr>
      <w:tr>
        <w:tc>
          <w:tcPr>
            <w:tcW w:type="dxa" w:w="3360"/>
          </w:tcPr>
          <w:p>
            <w:r>
              <w:t>UPDATE</w:t>
            </w:r>
          </w:p>
        </w:tc>
        <w:tc>
          <w:tcPr>
            <w:tcW w:type="dxa" w:w="3360"/>
          </w:tcPr>
          <w:p>
            <w:r>
              <w:t>Useful content needs governance, traceability or technical correction.</w:t>
            </w:r>
          </w:p>
        </w:tc>
        <w:tc>
          <w:tcPr>
            <w:tcW w:type="dxa" w:w="3360"/>
          </w:tcPr>
          <w:p>
            <w:r>
              <w:t>Revise without unnecessary rewrite.</w:t>
            </w:r>
          </w:p>
        </w:tc>
      </w:tr>
      <w:tr>
        <w:tc>
          <w:tcPr>
            <w:tcW w:type="dxa" w:w="3360"/>
          </w:tcPr>
          <w:p>
            <w:r>
              <w:t>REPLACE</w:t>
            </w:r>
          </w:p>
        </w:tc>
        <w:tc>
          <w:tcPr>
            <w:tcW w:type="dxa" w:w="3360"/>
          </w:tcPr>
          <w:p>
            <w:r>
              <w:t>Artifact is unsuitable as an authoritative source.</w:t>
            </w:r>
          </w:p>
        </w:tc>
        <w:tc>
          <w:tcPr>
            <w:tcW w:type="dxa" w:w="3360"/>
          </w:tcPr>
          <w:p>
            <w:r>
              <w:t>Create controlled successor and retire old artifact.</w:t>
            </w:r>
          </w:p>
        </w:tc>
      </w:tr>
      <w:tr>
        <w:tc>
          <w:tcPr>
            <w:tcW w:type="dxa" w:w="3360"/>
          </w:tcPr>
          <w:p>
            <w:r>
              <w:t>MISSING</w:t>
            </w:r>
          </w:p>
        </w:tc>
        <w:tc>
          <w:tcPr>
            <w:tcW w:type="dxa" w:w="3360"/>
          </w:tcPr>
          <w:p>
            <w:r>
              <w:t>Required controlled artifact is absent.</w:t>
            </w:r>
          </w:p>
        </w:tc>
        <w:tc>
          <w:tcPr>
            <w:tcW w:type="dxa" w:w="3360"/>
          </w:tcPr>
          <w:p>
            <w:r>
              <w:t>Create it.</w:t>
            </w:r>
          </w:p>
        </w:tc>
      </w:tr>
      <w:tr>
        <w:tc>
          <w:tcPr>
            <w:tcW w:type="dxa" w:w="3360"/>
          </w:tcPr>
          <w:p>
            <w:r>
              <w:t>BASELINE</w:t>
            </w:r>
          </w:p>
        </w:tc>
        <w:tc>
          <w:tcPr>
            <w:tcW w:type="dxa" w:w="3360"/>
          </w:tcPr>
          <w:p>
            <w:r>
              <w:t>Mature enough to become an approved implementation reference.</w:t>
            </w:r>
          </w:p>
        </w:tc>
        <w:tc>
          <w:tcPr>
            <w:tcW w:type="dxa" w:w="3360"/>
          </w:tcPr>
          <w:p>
            <w:r>
              <w:t>Approve/freeze after reconciliation.</w:t>
            </w:r>
          </w:p>
        </w:tc>
      </w:tr>
    </w:tbl>
    <w:p>
      <w:pPr>
        <w:pStyle w:val="Heading1"/>
      </w:pPr>
      <w:r>
        <w:t>4. Executive Audit Matrix</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Artifact</w:t>
            </w:r>
          </w:p>
        </w:tc>
        <w:tc>
          <w:tcPr>
            <w:tcW w:type="dxa" w:w="1680"/>
          </w:tcPr>
          <w:p>
            <w:r>
              <w:t>Evidence</w:t>
            </w:r>
          </w:p>
        </w:tc>
        <w:tc>
          <w:tcPr>
            <w:tcW w:type="dxa" w:w="1680"/>
          </w:tcPr>
          <w:p>
            <w:r>
              <w:t>Assessment</w:t>
            </w:r>
          </w:p>
        </w:tc>
        <w:tc>
          <w:tcPr>
            <w:tcW w:type="dxa" w:w="1680"/>
          </w:tcPr>
          <w:p>
            <w:r>
              <w:t>Decision</w:t>
            </w:r>
          </w:p>
        </w:tc>
        <w:tc>
          <w:tcPr>
            <w:tcW w:type="dxa" w:w="1680"/>
          </w:tcPr>
          <w:p>
            <w:r>
              <w:t>Priority</w:t>
            </w:r>
          </w:p>
        </w:tc>
        <w:tc>
          <w:tcPr>
            <w:tcW w:type="dxa" w:w="1680"/>
          </w:tcPr>
          <w:p>
            <w:r>
              <w:t>Reason</w:t>
            </w:r>
          </w:p>
        </w:tc>
      </w:tr>
      <w:tr>
        <w:tc>
          <w:tcPr>
            <w:tcW w:type="dxa" w:w="1680"/>
          </w:tcPr>
          <w:p>
            <w:r>
              <w:t>Volume 1 — BRD v1.0</w:t>
            </w:r>
          </w:p>
        </w:tc>
        <w:tc>
          <w:tcPr>
            <w:tcW w:type="dxa" w:w="1680"/>
          </w:tcPr>
          <w:p>
            <w:r>
              <w:t>Comprehensive product/business blueprint</w:t>
            </w:r>
          </w:p>
        </w:tc>
        <w:tc>
          <w:tcPr>
            <w:tcW w:type="dxa" w:w="1680"/>
          </w:tcPr>
          <w:p>
            <w:r>
              <w:t>Strong</w:t>
            </w:r>
          </w:p>
        </w:tc>
        <w:tc>
          <w:tcPr>
            <w:tcW w:type="dxa" w:w="1680"/>
          </w:tcPr>
          <w:p>
            <w:r>
              <w:t>KEEP + UPDATE</w:t>
            </w:r>
          </w:p>
        </w:tc>
        <w:tc>
          <w:tcPr>
            <w:tcW w:type="dxa" w:w="1680"/>
          </w:tcPr>
          <w:p>
            <w:r>
              <w:t>P1</w:t>
            </w:r>
          </w:p>
        </w:tc>
        <w:tc>
          <w:tcPr>
            <w:tcW w:type="dxa" w:w="1680"/>
          </w:tcPr>
          <w:p>
            <w:r>
              <w:t>Valid foundation; status and governance references need alignment.</w:t>
            </w:r>
          </w:p>
        </w:tc>
      </w:tr>
      <w:tr>
        <w:tc>
          <w:tcPr>
            <w:tcW w:type="dxa" w:w="1680"/>
          </w:tcPr>
          <w:p>
            <w:r>
              <w:t>Volume 2 — FRS v1.0</w:t>
            </w:r>
          </w:p>
        </w:tc>
        <w:tc>
          <w:tcPr>
            <w:tcW w:type="dxa" w:w="1680"/>
          </w:tcPr>
          <w:p>
            <w:r>
              <w:t>Detailed functional requirements/workflows</w:t>
            </w:r>
          </w:p>
        </w:tc>
        <w:tc>
          <w:tcPr>
            <w:tcW w:type="dxa" w:w="1680"/>
          </w:tcPr>
          <w:p>
            <w:r>
              <w:t>Strong</w:t>
            </w:r>
          </w:p>
        </w:tc>
        <w:tc>
          <w:tcPr>
            <w:tcW w:type="dxa" w:w="1680"/>
          </w:tcPr>
          <w:p>
            <w:r>
              <w:t>KEEP + UPDATE + TRACE</w:t>
            </w:r>
          </w:p>
        </w:tc>
        <w:tc>
          <w:tcPr>
            <w:tcW w:type="dxa" w:w="1680"/>
          </w:tcPr>
          <w:p>
            <w:r>
              <w:t>P1</w:t>
            </w:r>
          </w:p>
        </w:tc>
        <w:tc>
          <w:tcPr>
            <w:tcW w:type="dxa" w:w="1680"/>
          </w:tcPr>
          <w:p>
            <w:r>
              <w:t>Excellent implementation bridge; needs formal traceability and release scoping.</w:t>
            </w:r>
          </w:p>
        </w:tc>
      </w:tr>
      <w:tr>
        <w:tc>
          <w:tcPr>
            <w:tcW w:type="dxa" w:w="1680"/>
          </w:tcPr>
          <w:p>
            <w:r>
              <w:t>Volume 3 — TDD v1.0</w:t>
            </w:r>
          </w:p>
        </w:tc>
        <w:tc>
          <w:tcPr>
            <w:tcW w:type="dxa" w:w="1680"/>
          </w:tcPr>
          <w:p>
            <w:r>
              <w:t>Architecture, stack, data, security, AI, scalability</w:t>
            </w:r>
          </w:p>
        </w:tc>
        <w:tc>
          <w:tcPr>
            <w:tcW w:type="dxa" w:w="1680"/>
          </w:tcPr>
          <w:p>
            <w:r>
              <w:t>Strong but high-level in places</w:t>
            </w:r>
          </w:p>
        </w:tc>
        <w:tc>
          <w:tcPr>
            <w:tcW w:type="dxa" w:w="1680"/>
          </w:tcPr>
          <w:p>
            <w:r>
              <w:t>KEEP + EXPAND</w:t>
            </w:r>
          </w:p>
        </w:tc>
        <w:tc>
          <w:tcPr>
            <w:tcW w:type="dxa" w:w="1680"/>
          </w:tcPr>
          <w:p>
            <w:r>
              <w:t>P1</w:t>
            </w:r>
          </w:p>
        </w:tc>
        <w:tc>
          <w:tcPr>
            <w:tcW w:type="dxa" w:w="1680"/>
          </w:tcPr>
          <w:p>
            <w:r>
              <w:t>Needs deeper implementation contracts for the current build.</w:t>
            </w:r>
          </w:p>
        </w:tc>
      </w:tr>
      <w:tr>
        <w:tc>
          <w:tcPr>
            <w:tcW w:type="dxa" w:w="1680"/>
          </w:tcPr>
          <w:p>
            <w:r>
              <w:t>Volume 4 — DDD Domain 1 v1.0</w:t>
            </w:r>
          </w:p>
        </w:tc>
        <w:tc>
          <w:tcPr>
            <w:tcW w:type="dxa" w:w="1680"/>
          </w:tcPr>
          <w:p>
            <w:r>
              <w:t>Detailed PostgreSQL Foundation &amp; Identity schema</w:t>
            </w:r>
          </w:p>
        </w:tc>
        <w:tc>
          <w:tcPr>
            <w:tcW w:type="dxa" w:w="1680"/>
          </w:tcPr>
          <w:p>
            <w:r>
              <w:t>Strong domain baseline</w:t>
            </w:r>
          </w:p>
        </w:tc>
        <w:tc>
          <w:tcPr>
            <w:tcW w:type="dxa" w:w="1680"/>
          </w:tcPr>
          <w:p>
            <w:r>
              <w:t>KEEP + RECONCILE + BASELINE</w:t>
            </w:r>
          </w:p>
        </w:tc>
        <w:tc>
          <w:tcPr>
            <w:tcW w:type="dxa" w:w="1680"/>
          </w:tcPr>
          <w:p>
            <w:r>
              <w:t>P1</w:t>
            </w:r>
          </w:p>
        </w:tc>
        <w:tc>
          <w:tcPr>
            <w:tcW w:type="dxa" w:w="1680"/>
          </w:tcPr>
          <w:p>
            <w:r>
              <w:t>Good schema foundation; needs formal traceability to FRS/TDD/security.</w:t>
            </w:r>
          </w:p>
        </w:tc>
      </w:tr>
      <w:tr>
        <w:tc>
          <w:tcPr>
            <w:tcW w:type="dxa" w:w="1680"/>
          </w:tcPr>
          <w:p>
            <w:r>
              <w:t>API Specification</w:t>
            </w:r>
          </w:p>
        </w:tc>
        <w:tc>
          <w:tcPr>
            <w:tcW w:type="dxa" w:w="1680"/>
          </w:tcPr>
          <w:p>
            <w:r>
              <w:t>Listed in roadmap, not supplied</w:t>
            </w:r>
          </w:p>
        </w:tc>
        <w:tc>
          <w:tcPr>
            <w:tcW w:type="dxa" w:w="1680"/>
          </w:tcPr>
          <w:p>
            <w:r>
              <w:t>Missing</w:t>
            </w:r>
          </w:p>
        </w:tc>
        <w:tc>
          <w:tcPr>
            <w:tcW w:type="dxa" w:w="1680"/>
          </w:tcPr>
          <w:p>
            <w:r>
              <w:t>CREATE</w:t>
            </w:r>
          </w:p>
        </w:tc>
        <w:tc>
          <w:tcPr>
            <w:tcW w:type="dxa" w:w="1680"/>
          </w:tcPr>
          <w:p>
            <w:r>
              <w:t>P1</w:t>
            </w:r>
          </w:p>
        </w:tc>
        <w:tc>
          <w:tcPr>
            <w:tcW w:type="dxa" w:w="1680"/>
          </w:tcPr>
          <w:p>
            <w:r>
              <w:t>Required for contract-driven Cursor implementation.</w:t>
            </w:r>
          </w:p>
        </w:tc>
      </w:tr>
      <w:tr>
        <w:tc>
          <w:tcPr>
            <w:tcW w:type="dxa" w:w="1680"/>
          </w:tcPr>
          <w:p>
            <w:r>
              <w:t>UI/UX Specification</w:t>
            </w:r>
          </w:p>
        </w:tc>
        <w:tc>
          <w:tcPr>
            <w:tcW w:type="dxa" w:w="1680"/>
          </w:tcPr>
          <w:p>
            <w:r>
              <w:t>Listed in roadmap, not supplied</w:t>
            </w:r>
          </w:p>
        </w:tc>
        <w:tc>
          <w:tcPr>
            <w:tcW w:type="dxa" w:w="1680"/>
          </w:tcPr>
          <w:p>
            <w:r>
              <w:t>Missing</w:t>
            </w:r>
          </w:p>
        </w:tc>
        <w:tc>
          <w:tcPr>
            <w:tcW w:type="dxa" w:w="1680"/>
          </w:tcPr>
          <w:p>
            <w:r>
              <w:t>CREATE LATER</w:t>
            </w:r>
          </w:p>
        </w:tc>
        <w:tc>
          <w:tcPr>
            <w:tcW w:type="dxa" w:w="1680"/>
          </w:tcPr>
          <w:p>
            <w:r>
              <w:t>P2</w:t>
            </w:r>
          </w:p>
        </w:tc>
        <w:tc>
          <w:tcPr>
            <w:tcW w:type="dxa" w:w="1680"/>
          </w:tcPr>
          <w:p>
            <w:r>
              <w:t>Needed before broad UI implementation.</w:t>
            </w:r>
          </w:p>
        </w:tc>
      </w:tr>
      <w:tr>
        <w:tc>
          <w:tcPr>
            <w:tcW w:type="dxa" w:w="1680"/>
          </w:tcPr>
          <w:p>
            <w:r>
              <w:t>AI Architecture &amp; Governance</w:t>
            </w:r>
          </w:p>
        </w:tc>
        <w:tc>
          <w:tcPr>
            <w:tcW w:type="dxa" w:w="1680"/>
          </w:tcPr>
          <w:p>
            <w:r>
              <w:t>Listed in roadmap, not supplied</w:t>
            </w:r>
          </w:p>
        </w:tc>
        <w:tc>
          <w:tcPr>
            <w:tcW w:type="dxa" w:w="1680"/>
          </w:tcPr>
          <w:p>
            <w:r>
              <w:t>Missing</w:t>
            </w:r>
          </w:p>
        </w:tc>
        <w:tc>
          <w:tcPr>
            <w:tcW w:type="dxa" w:w="1680"/>
          </w:tcPr>
          <w:p>
            <w:r>
              <w:t>CREATE / RATIONALIZE</w:t>
            </w:r>
          </w:p>
        </w:tc>
        <w:tc>
          <w:tcPr>
            <w:tcW w:type="dxa" w:w="1680"/>
          </w:tcPr>
          <w:p>
            <w:r>
              <w:t>P2</w:t>
            </w:r>
          </w:p>
        </w:tc>
        <w:tc>
          <w:tcPr>
            <w:tcW w:type="dxa" w:w="1680"/>
          </w:tcPr>
          <w:p>
            <w:r>
              <w:t>Important core capability; must not duplicate Cursor governance.</w:t>
            </w:r>
          </w:p>
        </w:tc>
      </w:tr>
      <w:tr>
        <w:tc>
          <w:tcPr>
            <w:tcW w:type="dxa" w:w="1680"/>
          </w:tcPr>
          <w:p>
            <w:r>
              <w:t>DevOps &amp; Infrastructure</w:t>
            </w:r>
          </w:p>
        </w:tc>
        <w:tc>
          <w:tcPr>
            <w:tcW w:type="dxa" w:w="1680"/>
          </w:tcPr>
          <w:p>
            <w:r>
              <w:t>Listed in roadmap, not supplied</w:t>
            </w:r>
          </w:p>
        </w:tc>
        <w:tc>
          <w:tcPr>
            <w:tcW w:type="dxa" w:w="1680"/>
          </w:tcPr>
          <w:p>
            <w:r>
              <w:t>Missing</w:t>
            </w:r>
          </w:p>
        </w:tc>
        <w:tc>
          <w:tcPr>
            <w:tcW w:type="dxa" w:w="1680"/>
          </w:tcPr>
          <w:p>
            <w:r>
              <w:t>CREATE / EXPAND</w:t>
            </w:r>
          </w:p>
        </w:tc>
        <w:tc>
          <w:tcPr>
            <w:tcW w:type="dxa" w:w="1680"/>
          </w:tcPr>
          <w:p>
            <w:r>
              <w:t>P1</w:t>
            </w:r>
          </w:p>
        </w:tc>
        <w:tc>
          <w:tcPr>
            <w:tcW w:type="dxa" w:w="1680"/>
          </w:tcPr>
          <w:p>
            <w:r>
              <w:t>Required for deployment and operational control.</w:t>
            </w:r>
          </w:p>
        </w:tc>
      </w:tr>
      <w:tr>
        <w:tc>
          <w:tcPr>
            <w:tcW w:type="dxa" w:w="1680"/>
          </w:tcPr>
          <w:p>
            <w:r>
              <w:t>QA &amp; Testing Strategy</w:t>
            </w:r>
          </w:p>
        </w:tc>
        <w:tc>
          <w:tcPr>
            <w:tcW w:type="dxa" w:w="1680"/>
          </w:tcPr>
          <w:p>
            <w:r>
              <w:t>Listed in roadmap, not supplied</w:t>
            </w:r>
          </w:p>
        </w:tc>
        <w:tc>
          <w:tcPr>
            <w:tcW w:type="dxa" w:w="1680"/>
          </w:tcPr>
          <w:p>
            <w:r>
              <w:t>Missing</w:t>
            </w:r>
          </w:p>
        </w:tc>
        <w:tc>
          <w:tcPr>
            <w:tcW w:type="dxa" w:w="1680"/>
          </w:tcPr>
          <w:p>
            <w:r>
              <w:t>CREATE</w:t>
            </w:r>
          </w:p>
        </w:tc>
        <w:tc>
          <w:tcPr>
            <w:tcW w:type="dxa" w:w="1680"/>
          </w:tcPr>
          <w:p>
            <w:r>
              <w:t>P1</w:t>
            </w:r>
          </w:p>
        </w:tc>
        <w:tc>
          <w:tcPr>
            <w:tcW w:type="dxa" w:w="1680"/>
          </w:tcPr>
          <w:p>
            <w:r>
              <w:t>Required for governed implementation.</w:t>
            </w:r>
          </w:p>
        </w:tc>
      </w:tr>
      <w:tr>
        <w:tc>
          <w:tcPr>
            <w:tcW w:type="dxa" w:w="1680"/>
          </w:tcPr>
          <w:p>
            <w:r>
              <w:t>Claude AI Master Build Guide</w:t>
            </w:r>
          </w:p>
        </w:tc>
        <w:tc>
          <w:tcPr>
            <w:tcW w:type="dxa" w:w="1680"/>
          </w:tcPr>
          <w:p>
            <w:r>
              <w:t>Listed as future roadmap artifact</w:t>
            </w:r>
          </w:p>
        </w:tc>
        <w:tc>
          <w:tcPr>
            <w:tcW w:type="dxa" w:w="1680"/>
          </w:tcPr>
          <w:p>
            <w:r>
              <w:t>Governance mismatch</w:t>
            </w:r>
          </w:p>
        </w:tc>
        <w:tc>
          <w:tcPr>
            <w:tcW w:type="dxa" w:w="1680"/>
          </w:tcPr>
          <w:p>
            <w:r>
              <w:t>REPLACE AS PRIMARY GOVERNANCE</w:t>
            </w:r>
          </w:p>
        </w:tc>
        <w:tc>
          <w:tcPr>
            <w:tcW w:type="dxa" w:w="1680"/>
          </w:tcPr>
          <w:p>
            <w:r>
              <w:t>P1</w:t>
            </w:r>
          </w:p>
        </w:tc>
        <w:tc>
          <w:tcPr>
            <w:tcW w:type="dxa" w:w="1680"/>
          </w:tcPr>
          <w:p>
            <w:r>
              <w:t>Cursor is the selected implementation workflow; governance belongs in TDA-GOV-CUR-001.</w:t>
            </w:r>
          </w:p>
        </w:tc>
      </w:tr>
    </w:tbl>
    <w:p>
      <w:pPr>
        <w:pStyle w:val="Heading1"/>
      </w:pPr>
      <w:r>
        <w:t>5. Volume 1 — BRD Audit</w:t>
      </w:r>
    </w:p>
    <w:p>
      <w:r>
        <w:t>The BRD is a broad product blueprint covering the platform vision, target organizations, patient/EHR, appointments, clinical workflows, billing, imaging, laboratory, inventory, CRM, AI, BI, security, multi-tenancy, mobile and integrations.</w:t>
      </w:r>
    </w:p>
    <w:p>
      <w:pPr>
        <w:pStyle w:val="ListBullet"/>
      </w:pPr>
      <w:r>
        <w:t>Strong product vision and scope definition.</w:t>
      </w:r>
    </w:p>
    <w:p>
      <w:pPr>
        <w:pStyle w:val="ListBullet"/>
      </w:pPr>
      <w:r>
        <w:t>Clear multi-tenant SaaS positioning.</w:t>
      </w:r>
    </w:p>
    <w:p>
      <w:pPr>
        <w:pStyle w:val="ListBullet"/>
      </w:pPr>
      <w:r>
        <w:t>Broad coverage of clinical, administrative and operational capabilities.</w:t>
      </w:r>
    </w:p>
    <w:p>
      <w:pPr>
        <w:pStyle w:val="ListBullet"/>
      </w:pPr>
      <w:r>
        <w:t>Useful security, auditability and interoperability expectations.</w:t>
      </w:r>
    </w:p>
    <w:p>
      <w:pPr>
        <w:pStyle w:val="ListBullet"/>
      </w:pPr>
      <w:r>
        <w:t>Technology direction is explicit enough to feed the TDD.</w:t>
      </w:r>
    </w:p>
    <w:p>
      <w:pPr>
        <w:pStyle w:val="ListBullet"/>
      </w:pPr>
      <w:r>
        <w:t>Future-volume roadmap is useful planning context.</w:t>
      </w:r>
    </w:p>
    <w:p>
      <w:pPr>
        <w:pStyle w:val="Heading2"/>
      </w:pPr>
      <w:r>
        <w:t>5.1 Required Updates</w:t>
      </w:r>
    </w:p>
    <w:p>
      <w:pPr>
        <w:pStyle w:val="ListBullet"/>
      </w:pPr>
      <w:r>
        <w:t>Normalize status using the governance status model; retain DRAFT/REVIEW until formal approval.</w:t>
      </w:r>
    </w:p>
    <w:p>
      <w:pPr>
        <w:pStyle w:val="ListBullet"/>
      </w:pPr>
      <w:r>
        <w:t>Add references to TDA-GOV-MDI-001, TDA-GOV-SOT-001, TDA-GOV-CMP-001 and TDA-GOV-CUR-001.</w:t>
      </w:r>
    </w:p>
    <w:p>
      <w:pPr>
        <w:pStyle w:val="ListBullet"/>
      </w:pPr>
      <w:r>
        <w:t>Separate product commitments from preferred implementation technology where wording currently mixes them.</w:t>
      </w:r>
    </w:p>
    <w:p>
      <w:pPr>
        <w:pStyle w:val="ListBullet"/>
      </w:pPr>
      <w:r>
        <w:t>Add release/phase identifiers so MUST requirements are not interpreted as all required for the first release.</w:t>
      </w:r>
    </w:p>
    <w:p>
      <w:pPr>
        <w:pStyle w:val="ListBullet"/>
      </w:pPr>
      <w:r>
        <w:t>Add ownership and approval metadata.</w:t>
      </w:r>
    </w:p>
    <w:p>
      <w:r>
        <w:t>Decision: KEEP + UPDATE. No full rewrite recommended.</w:t>
      </w:r>
    </w:p>
    <w:p>
      <w:pPr>
        <w:pStyle w:val="Heading1"/>
      </w:pPr>
      <w:r>
        <w:t>6. Volume 2 — FRS Audit</w:t>
      </w:r>
    </w:p>
    <w:p>
      <w:r>
        <w:t>The FRS is the strongest bridge between product intent and implementation. It uses stable IDs such as IAM-FR-001, PAT-FR-001 and APT-FR-001 and defines workflows, permissions, validation, lifecycle behavior and acceptance-oriented requirements.</w:t>
      </w:r>
    </w:p>
    <w:p>
      <w:pPr>
        <w:pStyle w:val="ListBullet"/>
      </w:pPr>
      <w:r>
        <w:t>Strong requirement ID convention.</w:t>
      </w:r>
    </w:p>
    <w:p>
      <w:pPr>
        <w:pStyle w:val="ListBullet"/>
      </w:pPr>
      <w:r>
        <w:t>Clear MUST / SHOULD / COULD priority model.</w:t>
      </w:r>
    </w:p>
    <w:p>
      <w:pPr>
        <w:pStyle w:val="ListBullet"/>
      </w:pPr>
      <w:r>
        <w:t>Explicit expectation of traceability to BRD, UI, API, database and tests.</w:t>
      </w:r>
    </w:p>
    <w:p>
      <w:pPr>
        <w:pStyle w:val="ListBullet"/>
      </w:pPr>
      <w:r>
        <w:t>Appointment lifecycle is deterministic and implementation-friendly.</w:t>
      </w:r>
    </w:p>
    <w:p>
      <w:pPr>
        <w:pStyle w:val="ListBullet"/>
      </w:pPr>
      <w:r>
        <w:t>Server-side authorization and audit requirements are clearly stated.</w:t>
      </w:r>
    </w:p>
    <w:p>
      <w:pPr>
        <w:pStyle w:val="ListBullet"/>
      </w:pPr>
      <w:r>
        <w:t>AI clinical content is constrained by human review.</w:t>
      </w:r>
    </w:p>
    <w:p>
      <w:pPr>
        <w:pStyle w:val="Heading2"/>
      </w:pPr>
      <w:r>
        <w:t>6.1 Required Updates</w:t>
      </w:r>
    </w:p>
    <w:p>
      <w:pPr>
        <w:pStyle w:val="ListBullet"/>
      </w:pPr>
      <w:r>
        <w:t>Make BRD traceability explicit for high-priority requirements.</w:t>
      </w:r>
    </w:p>
    <w:p>
      <w:pPr>
        <w:pStyle w:val="ListBullet"/>
      </w:pPr>
      <w:r>
        <w:t>Add stable acceptance-criteria IDs.</w:t>
      </w:r>
    </w:p>
    <w:p>
      <w:pPr>
        <w:pStyle w:val="ListBullet"/>
      </w:pPr>
      <w:r>
        <w:t>Add release/phase tags.</w:t>
      </w:r>
    </w:p>
    <w:p>
      <w:pPr>
        <w:pStyle w:val="ListBullet"/>
      </w:pPr>
      <w:r>
        <w:t>Map requirements to Domain Specification IDs as domains are created.</w:t>
      </w:r>
    </w:p>
    <w:p>
      <w:pPr>
        <w:pStyle w:val="ListBullet"/>
      </w:pPr>
      <w:r>
        <w:t>Map appointment requirements to the approved appointment state machine and notification architecture.</w:t>
      </w:r>
    </w:p>
    <w:p>
      <w:pPr>
        <w:pStyle w:val="ListBullet"/>
      </w:pPr>
      <w:r>
        <w:t>Identify requirements that require API, DDD, security or test artifacts before implementation.</w:t>
      </w:r>
    </w:p>
    <w:p>
      <w:r>
        <w:t>Decision: KEEP + UPDATE + TRACE. No full rewrite recommended.</w:t>
      </w:r>
    </w:p>
    <w:p>
      <w:pPr>
        <w:pStyle w:val="Heading1"/>
      </w:pPr>
      <w:r>
        <w:t>7. Volume 3 — TDD Audit</w:t>
      </w:r>
    </w:p>
    <w:p>
      <w:r>
        <w:t>The TDD establishes a sound modular architecture across client, edge, application/domain, platform services, data and external integrations. It explicitly covers tenant isolation, data architecture, component responsibilities, AI gateway, notification, audit, reporting and deployment technologies.</w:t>
      </w:r>
    </w:p>
    <w:p>
      <w:pPr>
        <w:pStyle w:val="ListBullet"/>
      </w:pPr>
      <w:r>
        <w:t>Architecture goals are appropriate for secure multi-tenant dental SaaS.</w:t>
      </w:r>
    </w:p>
    <w:p>
      <w:pPr>
        <w:pStyle w:val="ListBullet"/>
      </w:pPr>
      <w:r>
        <w:t>Preferred stack is clearly stated.</w:t>
      </w:r>
    </w:p>
    <w:p>
      <w:pPr>
        <w:pStyle w:val="ListBullet"/>
      </w:pPr>
      <w:r>
        <w:t>Premature microservice proliferation is discouraged.</w:t>
      </w:r>
    </w:p>
    <w:p>
      <w:pPr>
        <w:pStyle w:val="ListBullet"/>
      </w:pPr>
      <w:r>
        <w:t>Tenant context is required for requests, repositories, jobs, caches, object storage and search.</w:t>
      </w:r>
    </w:p>
    <w:p>
      <w:pPr>
        <w:pStyle w:val="ListBullet"/>
      </w:pPr>
      <w:r>
        <w:t>PostgreSQL is correctly positioned as the transactional system of record.</w:t>
      </w:r>
    </w:p>
    <w:p>
      <w:pPr>
        <w:pStyle w:val="ListBullet"/>
      </w:pPr>
      <w:r>
        <w:t>Notification and audit are recognized as reusable platform capabilities.</w:t>
      </w:r>
    </w:p>
    <w:p>
      <w:pPr>
        <w:pStyle w:val="Heading2"/>
      </w:pPr>
      <w:r>
        <w:t>7.1 Required Expansion</w:t>
      </w:r>
    </w:p>
    <w:p>
      <w:pPr>
        <w:pStyle w:val="ListBullet"/>
      </w:pPr>
      <w:r>
        <w:t>Define backend package/layer boundaries and dependency direction.</w:t>
      </w:r>
    </w:p>
    <w:p>
      <w:pPr>
        <w:pStyle w:val="ListBullet"/>
      </w:pPr>
      <w:r>
        <w:t>Define transaction and consistency patterns for high-value workflows.</w:t>
      </w:r>
    </w:p>
    <w:p>
      <w:pPr>
        <w:pStyle w:val="ListBullet"/>
      </w:pPr>
      <w:r>
        <w:t>Promote the implemented Appointment → History → Audit → Notification Outbox architecture into the controlled TDD baseline.</w:t>
      </w:r>
    </w:p>
    <w:p>
      <w:pPr>
        <w:pStyle w:val="ListBullet"/>
      </w:pPr>
      <w:r>
        <w:t>Define notification dispatcher, retry, idempotency and provider-adapter behavior.</w:t>
      </w:r>
    </w:p>
    <w:p>
      <w:pPr>
        <w:pStyle w:val="ListBullet"/>
      </w:pPr>
      <w:r>
        <w:t>Define API standards, error model, pagination, idempotency and versioning.</w:t>
      </w:r>
    </w:p>
    <w:p>
      <w:pPr>
        <w:pStyle w:val="ListBullet"/>
      </w:pPr>
      <w:r>
        <w:t>Expand authentication/session/MFA and authorization architecture.</w:t>
      </w:r>
    </w:p>
    <w:p>
      <w:pPr>
        <w:pStyle w:val="ListBullet"/>
      </w:pPr>
      <w:r>
        <w:t>Define background-job and worker semantics.</w:t>
      </w:r>
    </w:p>
    <w:p>
      <w:pPr>
        <w:pStyle w:val="ListBullet"/>
      </w:pPr>
      <w:r>
        <w:t>Define observability, correlation IDs, audit logging and sensitive-data logging rules.</w:t>
      </w:r>
    </w:p>
    <w:p>
      <w:pPr>
        <w:pStyle w:val="ListBullet"/>
      </w:pPr>
      <w:r>
        <w:t>Define deployment environments and promotion strategy.</w:t>
      </w:r>
    </w:p>
    <w:p>
      <w:pPr>
        <w:pStyle w:val="ListBullet"/>
      </w:pPr>
      <w:r>
        <w:t>Define backup, recovery and disaster-recovery expectations.</w:t>
      </w:r>
    </w:p>
    <w:p>
      <w:pPr>
        <w:pStyle w:val="ListBullet"/>
      </w:pPr>
      <w:r>
        <w:t>Define file/object-storage access patterns and lifecycle.</w:t>
      </w:r>
    </w:p>
    <w:p>
      <w:pPr>
        <w:pStyle w:val="ListBullet"/>
      </w:pPr>
      <w:r>
        <w:t>Expand AI gateway boundaries, model-provider abstraction and safety controls.</w:t>
      </w:r>
    </w:p>
    <w:p>
      <w:r>
        <w:t>Decision: KEEP + EXPAND. Do not replace the current TDD.</w:t>
      </w:r>
    </w:p>
    <w:p>
      <w:pPr>
        <w:pStyle w:val="Heading1"/>
      </w:pPr>
      <w:r>
        <w:t>8. Volume 4 — DDD Domain 1 Audit</w:t>
      </w:r>
    </w:p>
    <w:p>
      <w:r>
        <w:t>Domain 1 is a strong starting database design for Foundation &amp; Identity. It establishes PostgreSQL, tenant ownership principles, UUIDs, UTC timestamps, controlled lifecycle states, foreign keys, migrations and auditability, then defines organizations, branches, users, memberships, roles, permissions, sessions, MFA, subscriptions, feature flags, settings, audit events and security events.</w:t>
      </w:r>
    </w:p>
    <w:p>
      <w:pPr>
        <w:pStyle w:val="ListBullet"/>
      </w:pPr>
      <w:r>
        <w:t>Good tenant-ownership model.</w:t>
      </w:r>
    </w:p>
    <w:p>
      <w:pPr>
        <w:pStyle w:val="ListBullet"/>
      </w:pPr>
      <w:r>
        <w:t>Correct distinction between platform identity and tenant authorization.</w:t>
      </w:r>
    </w:p>
    <w:p>
      <w:pPr>
        <w:pStyle w:val="ListBullet"/>
      </w:pPr>
      <w:r>
        <w:t>Useful naming standards.</w:t>
      </w:r>
    </w:p>
    <w:p>
      <w:pPr>
        <w:pStyle w:val="ListBullet"/>
      </w:pPr>
      <w:r>
        <w:t>Strong emphasis on migrations and referential integrity.</w:t>
      </w:r>
    </w:p>
    <w:p>
      <w:pPr>
        <w:pStyle w:val="ListBullet"/>
      </w:pPr>
      <w:r>
        <w:t>Appropriate audit/security-event concepts.</w:t>
      </w:r>
    </w:p>
    <w:p>
      <w:pPr>
        <w:pStyle w:val="ListBullet"/>
      </w:pPr>
      <w:r>
        <w:t>Domain roadmap is clearly identified.</w:t>
      </w:r>
    </w:p>
    <w:p>
      <w:pPr>
        <w:pStyle w:val="Heading2"/>
      </w:pPr>
      <w:r>
        <w:t>8.1 Reconciliation Items</w:t>
      </w:r>
    </w:p>
    <w:p>
      <w:pPr>
        <w:pStyle w:val="ListBullet"/>
      </w:pPr>
      <w:r>
        <w:t>TDD says every tenant-owned table should include organization_id; DDD permits direct ownership or an enforceable relationship. Formalize this as an explicit exception rule for foundation tables where indirect ownership is intentional.</w:t>
      </w:r>
    </w:p>
    <w:p>
      <w:pPr>
        <w:pStyle w:val="ListBullet"/>
      </w:pPr>
      <w:r>
        <w:t>Define role/membership semantics and uniqueness constraints consistently with authorization.</w:t>
      </w:r>
    </w:p>
    <w:p>
      <w:pPr>
        <w:pStyle w:val="ListBullet"/>
      </w:pPr>
      <w:r>
        <w:t>Map tables to FRS IAM requirements.</w:t>
      </w:r>
    </w:p>
    <w:p>
      <w:pPr>
        <w:pStyle w:val="ListBullet"/>
      </w:pPr>
      <w:r>
        <w:t>Map security-sensitive tables to the future Security &amp; Privacy specification.</w:t>
      </w:r>
    </w:p>
    <w:p>
      <w:pPr>
        <w:pStyle w:val="ListBullet"/>
      </w:pPr>
      <w:r>
        <w:t>Record PostgreSQL version and infrastructure choice through TDD/ADR before production.</w:t>
      </w:r>
    </w:p>
    <w:p>
      <w:pPr>
        <w:pStyle w:val="ListBullet"/>
      </w:pPr>
      <w:r>
        <w:t>Define migration naming/versioning and expand/contract policy for production changes.</w:t>
      </w:r>
    </w:p>
    <w:p>
      <w:r>
        <w:t>Decision: KEEP + RECONCILE + BASELINE.</w:t>
      </w:r>
    </w:p>
    <w:p>
      <w:pPr>
        <w:pStyle w:val="Heading1"/>
      </w:pPr>
      <w:r>
        <w:t>9. Cross-Document Consistency Findings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Finding</w:t>
            </w:r>
          </w:p>
        </w:tc>
        <w:tc>
          <w:tcPr>
            <w:tcW w:type="dxa" w:w="2016"/>
          </w:tcPr>
          <w:p>
            <w:r>
              <w:t>Documents</w:t>
            </w:r>
          </w:p>
        </w:tc>
        <w:tc>
          <w:tcPr>
            <w:tcW w:type="dxa" w:w="2016"/>
          </w:tcPr>
          <w:p>
            <w:r>
              <w:t>Severity</w:t>
            </w:r>
          </w:p>
        </w:tc>
        <w:tc>
          <w:tcPr>
            <w:tcW w:type="dxa" w:w="2016"/>
          </w:tcPr>
          <w:p>
            <w:r>
              <w:t>Assessment</w:t>
            </w:r>
          </w:p>
        </w:tc>
        <w:tc>
          <w:tcPr>
            <w:tcW w:type="dxa" w:w="2016"/>
          </w:tcPr>
          <w:p>
            <w:r>
              <w:t>Action</w:t>
            </w:r>
          </w:p>
        </w:tc>
      </w:tr>
      <w:tr>
        <w:tc>
          <w:tcPr>
            <w:tcW w:type="dxa" w:w="2016"/>
          </w:tcPr>
          <w:p>
            <w:r>
              <w:t>Document-suite numbering differs from new governance index</w:t>
            </w:r>
          </w:p>
        </w:tc>
        <w:tc>
          <w:tcPr>
            <w:tcW w:type="dxa" w:w="2016"/>
          </w:tcPr>
          <w:p>
            <w:r>
              <w:t>Existing roadmap vs MDI</w:t>
            </w:r>
          </w:p>
        </w:tc>
        <w:tc>
          <w:tcPr>
            <w:tcW w:type="dxa" w:w="2016"/>
          </w:tcPr>
          <w:p>
            <w:r>
              <w:t>HIGH</w:t>
            </w:r>
          </w:p>
        </w:tc>
        <w:tc>
          <w:tcPr>
            <w:tcW w:type="dxa" w:w="2016"/>
          </w:tcPr>
          <w:p>
            <w:r>
              <w:t>Existing roadmap labels API as Volume 5, UI/UX 6, AI 7, DevOps 8, QA 9, Claude guide 10. New MDI uses Volume 05 for Domain Specifications and Volume 06 for API.</w:t>
            </w:r>
          </w:p>
        </w:tc>
        <w:tc>
          <w:tcPr>
            <w:tcW w:type="dxa" w:w="2016"/>
          </w:tcPr>
          <w:p>
            <w:r>
              <w:t>Adopt new numbering; maintain a legacy crosswalk.</w:t>
            </w:r>
          </w:p>
        </w:tc>
      </w:tr>
      <w:tr>
        <w:tc>
          <w:tcPr>
            <w:tcW w:type="dxa" w:w="2016"/>
          </w:tcPr>
          <w:p>
            <w:r>
              <w:t>Status terminology differs</w:t>
            </w:r>
          </w:p>
        </w:tc>
        <w:tc>
          <w:tcPr>
            <w:tcW w:type="dxa" w:w="2016"/>
          </w:tcPr>
          <w:p>
            <w:r>
              <w:t>BRD/FRS/TDD/DDD vs governance</w:t>
            </w:r>
          </w:p>
        </w:tc>
        <w:tc>
          <w:tcPr>
            <w:tcW w:type="dxa" w:w="2016"/>
          </w:tcPr>
          <w:p>
            <w:r>
              <w:t>MEDIUM</w:t>
            </w:r>
          </w:p>
        </w:tc>
        <w:tc>
          <w:tcPr>
            <w:tcW w:type="dxa" w:w="2016"/>
          </w:tcPr>
          <w:p>
            <w:r>
              <w:t>Existing documents use Draft/Baseline/Baseline for Review.</w:t>
            </w:r>
          </w:p>
        </w:tc>
        <w:tc>
          <w:tcPr>
            <w:tcW w:type="dxa" w:w="2016"/>
          </w:tcPr>
          <w:p>
            <w:r>
              <w:t>Normalize status vocabulary.</w:t>
            </w:r>
          </w:p>
        </w:tc>
      </w:tr>
      <w:tr>
        <w:tc>
          <w:tcPr>
            <w:tcW w:type="dxa" w:w="2016"/>
          </w:tcPr>
          <w:p>
            <w:r>
              <w:t>Implemented notification architecture is ahead of documentation</w:t>
            </w:r>
          </w:p>
        </w:tc>
        <w:tc>
          <w:tcPr>
            <w:tcW w:type="dxa" w:w="2016"/>
          </w:tcPr>
          <w:p>
            <w:r>
              <w:t>TDD/FRS vs current implementation</w:t>
            </w:r>
          </w:p>
        </w:tc>
        <w:tc>
          <w:tcPr>
            <w:tcW w:type="dxa" w:w="2016"/>
          </w:tcPr>
          <w:p>
            <w:r>
              <w:t>HIGH</w:t>
            </w:r>
          </w:p>
        </w:tc>
        <w:tc>
          <w:tcPr>
            <w:tcW w:type="dxa" w:w="2016"/>
          </w:tcPr>
          <w:p>
            <w:r>
              <w:t>Current implementation uses appointment + history + audit + outbox in one transaction with asynchronous dispatcher behavior.</w:t>
            </w:r>
          </w:p>
        </w:tc>
        <w:tc>
          <w:tcPr>
            <w:tcW w:type="dxa" w:w="2016"/>
          </w:tcPr>
          <w:p>
            <w:r>
              <w:t>Update TDD and notification/domain documentation.</w:t>
            </w:r>
          </w:p>
        </w:tc>
      </w:tr>
      <w:tr>
        <w:tc>
          <w:tcPr>
            <w:tcW w:type="dxa" w:w="2016"/>
          </w:tcPr>
          <w:p>
            <w:r>
              <w:t>Traceability is declared but not fully materialized</w:t>
            </w:r>
          </w:p>
        </w:tc>
        <w:tc>
          <w:tcPr>
            <w:tcW w:type="dxa" w:w="2016"/>
          </w:tcPr>
          <w:p>
            <w:r>
              <w:t>FRS + DDD + TDD</w:t>
            </w:r>
          </w:p>
        </w:tc>
        <w:tc>
          <w:tcPr>
            <w:tcW w:type="dxa" w:w="2016"/>
          </w:tcPr>
          <w:p>
            <w:r>
              <w:t>MEDIUM</w:t>
            </w:r>
          </w:p>
        </w:tc>
        <w:tc>
          <w:tcPr>
            <w:tcW w:type="dxa" w:w="2016"/>
          </w:tcPr>
          <w:p>
            <w:r>
              <w:t>FRS requires traceability, but a controlled cross-reference matrix is not supplied.</w:t>
            </w:r>
          </w:p>
        </w:tc>
        <w:tc>
          <w:tcPr>
            <w:tcW w:type="dxa" w:w="2016"/>
          </w:tcPr>
          <w:p>
            <w:r>
              <w:t>Create traceability matrix.</w:t>
            </w:r>
          </w:p>
        </w:tc>
      </w:tr>
      <w:tr>
        <w:tc>
          <w:tcPr>
            <w:tcW w:type="dxa" w:w="2016"/>
          </w:tcPr>
          <w:p>
            <w:r>
              <w:t>API contract is not supplied</w:t>
            </w:r>
          </w:p>
        </w:tc>
        <w:tc>
          <w:tcPr>
            <w:tcW w:type="dxa" w:w="2016"/>
          </w:tcPr>
          <w:p>
            <w:r>
              <w:t>FRS/TDD roadmap</w:t>
            </w:r>
          </w:p>
        </w:tc>
        <w:tc>
          <w:tcPr>
            <w:tcW w:type="dxa" w:w="2016"/>
          </w:tcPr>
          <w:p>
            <w:r>
              <w:t>HIGH</w:t>
            </w:r>
          </w:p>
        </w:tc>
        <w:tc>
          <w:tcPr>
            <w:tcW w:type="dxa" w:w="2016"/>
          </w:tcPr>
          <w:p>
            <w:r>
              <w:t>A standalone contract is needed for reliable Cursor implementation.</w:t>
            </w:r>
          </w:p>
        </w:tc>
        <w:tc>
          <w:tcPr>
            <w:tcW w:type="dxa" w:w="2016"/>
          </w:tcPr>
          <w:p>
            <w:r>
              <w:t>Create Volume 06 API Specification.</w:t>
            </w:r>
          </w:p>
        </w:tc>
      </w:tr>
      <w:tr>
        <w:tc>
          <w:tcPr>
            <w:tcW w:type="dxa" w:w="2016"/>
          </w:tcPr>
          <w:p>
            <w:r>
              <w:t>Security specification is not supplied</w:t>
            </w:r>
          </w:p>
        </w:tc>
        <w:tc>
          <w:tcPr>
            <w:tcW w:type="dxa" w:w="2016"/>
          </w:tcPr>
          <w:p>
            <w:r>
              <w:t>BRD/FRS/TDD/DDD</w:t>
            </w:r>
          </w:p>
        </w:tc>
        <w:tc>
          <w:tcPr>
            <w:tcW w:type="dxa" w:w="2016"/>
          </w:tcPr>
          <w:p>
            <w:r>
              <w:t>HIGH</w:t>
            </w:r>
          </w:p>
        </w:tc>
        <w:tc>
          <w:tcPr>
            <w:tcW w:type="dxa" w:w="2016"/>
          </w:tcPr>
          <w:p>
            <w:r>
              <w:t>Security requirements are distributed across documents.</w:t>
            </w:r>
          </w:p>
        </w:tc>
        <w:tc>
          <w:tcPr>
            <w:tcW w:type="dxa" w:w="2016"/>
          </w:tcPr>
          <w:p>
            <w:r>
              <w:t>Create Volume 07 Security &amp; Privacy.</w:t>
            </w:r>
          </w:p>
        </w:tc>
      </w:tr>
      <w:tr>
        <w:tc>
          <w:tcPr>
            <w:tcW w:type="dxa" w:w="2016"/>
          </w:tcPr>
          <w:p>
            <w:r>
              <w:t>Testing strategy is not supplied</w:t>
            </w:r>
          </w:p>
        </w:tc>
        <w:tc>
          <w:tcPr>
            <w:tcW w:type="dxa" w:w="2016"/>
          </w:tcPr>
          <w:p>
            <w:r>
              <w:t>FRS/TDD roadmap</w:t>
            </w:r>
          </w:p>
        </w:tc>
        <w:tc>
          <w:tcPr>
            <w:tcW w:type="dxa" w:w="2016"/>
          </w:tcPr>
          <w:p>
            <w:r>
              <w:t>HIGH</w:t>
            </w:r>
          </w:p>
        </w:tc>
        <w:tc>
          <w:tcPr>
            <w:tcW w:type="dxa" w:w="2016"/>
          </w:tcPr>
          <w:p>
            <w:r>
              <w:t>Acceptance/test expectations exist but controlled QA documentation is absent.</w:t>
            </w:r>
          </w:p>
        </w:tc>
        <w:tc>
          <w:tcPr>
            <w:tcW w:type="dxa" w:w="2016"/>
          </w:tcPr>
          <w:p>
            <w:r>
              <w:t>Create Volume 08 Testing &amp; QA.</w:t>
            </w:r>
          </w:p>
        </w:tc>
      </w:tr>
    </w:tbl>
    <w:p>
      <w:pPr>
        <w:pStyle w:val="Heading1"/>
      </w:pPr>
      <w:r>
        <w:t>10. Numbering Rationalization</w:t>
      </w:r>
    </w:p>
    <w:p>
      <w:r>
        <w:t>The supplied roadmap uses legacy numbering: Volume 5 API, Volume 6 UI/UX, Volume 7 AI Architecture &amp; Governance, Volume 8 DevOps, Volume 9 QA, Volume 10 Claude AI Master Build Guide.</w:t>
      </w:r>
    </w:p>
    <w:p>
      <w:r>
        <w:t>The new governance index deliberately separates domain specifications from cross-cutting engineering contracts. TDA-GOV-MDI-001 must therefore become the controlling numbering map.</w:t>
      </w:r>
    </w:p>
    <w:tbl>
      <w:tblPr>
        <w:tblStyle w:val="TableGrid"/>
        <w:tblW w:type="auto" w:w="0"/>
        <w:tblLook w:firstColumn="1" w:firstRow="1" w:lastColumn="0" w:lastRow="0" w:noHBand="0" w:noVBand="1" w:val="04A0"/>
      </w:tblPr>
      <w:tblGrid>
        <w:gridCol w:w="3360"/>
        <w:gridCol w:w="3360"/>
        <w:gridCol w:w="3360"/>
      </w:tblGrid>
      <w:tr>
        <w:tc>
          <w:tcPr>
            <w:tcW w:type="dxa" w:w="3360"/>
          </w:tcPr>
          <w:p>
            <w:r>
              <w:t>Legacy label</w:t>
            </w:r>
          </w:p>
        </w:tc>
        <w:tc>
          <w:tcPr>
            <w:tcW w:type="dxa" w:w="3360"/>
          </w:tcPr>
          <w:p>
            <w:r>
              <w:t>Controlled destination</w:t>
            </w:r>
          </w:p>
        </w:tc>
        <w:tc>
          <w:tcPr>
            <w:tcW w:type="dxa" w:w="3360"/>
          </w:tcPr>
          <w:p>
            <w:r>
              <w:t>Action</w:t>
            </w:r>
          </w:p>
        </w:tc>
      </w:tr>
      <w:tr>
        <w:tc>
          <w:tcPr>
            <w:tcW w:type="dxa" w:w="3360"/>
          </w:tcPr>
          <w:p>
            <w:r>
              <w:t>Volume 1 — BRD</w:t>
            </w:r>
          </w:p>
        </w:tc>
        <w:tc>
          <w:tcPr>
            <w:tcW w:type="dxa" w:w="3360"/>
          </w:tcPr>
          <w:p>
            <w:r>
              <w:t>Volume 01 — Product Requirements</w:t>
            </w:r>
          </w:p>
        </w:tc>
        <w:tc>
          <w:tcPr>
            <w:tcW w:type="dxa" w:w="3360"/>
          </w:tcPr>
          <w:p>
            <w:r>
              <w:t>KEEP; align governance</w:t>
            </w:r>
          </w:p>
        </w:tc>
      </w:tr>
      <w:tr>
        <w:tc>
          <w:tcPr>
            <w:tcW w:type="dxa" w:w="3360"/>
          </w:tcPr>
          <w:p>
            <w:r>
              <w:t>Volume 2 — FRS</w:t>
            </w:r>
          </w:p>
        </w:tc>
        <w:tc>
          <w:tcPr>
            <w:tcW w:type="dxa" w:w="3360"/>
          </w:tcPr>
          <w:p>
            <w:r>
              <w:t>Volume 02 — Functional Requirements</w:t>
            </w:r>
          </w:p>
        </w:tc>
        <w:tc>
          <w:tcPr>
            <w:tcW w:type="dxa" w:w="3360"/>
          </w:tcPr>
          <w:p>
            <w:r>
              <w:t>KEEP; align governance</w:t>
            </w:r>
          </w:p>
        </w:tc>
      </w:tr>
      <w:tr>
        <w:tc>
          <w:tcPr>
            <w:tcW w:type="dxa" w:w="3360"/>
          </w:tcPr>
          <w:p>
            <w:r>
              <w:t>Volume 3 — TDD</w:t>
            </w:r>
          </w:p>
        </w:tc>
        <w:tc>
          <w:tcPr>
            <w:tcW w:type="dxa" w:w="3360"/>
          </w:tcPr>
          <w:p>
            <w:r>
              <w:t>Volume 03 — Technical Design</w:t>
            </w:r>
          </w:p>
        </w:tc>
        <w:tc>
          <w:tcPr>
            <w:tcW w:type="dxa" w:w="3360"/>
          </w:tcPr>
          <w:p>
            <w:r>
              <w:t>KEEP; expand</w:t>
            </w:r>
          </w:p>
        </w:tc>
      </w:tr>
      <w:tr>
        <w:tc>
          <w:tcPr>
            <w:tcW w:type="dxa" w:w="3360"/>
          </w:tcPr>
          <w:p>
            <w:r>
              <w:t>Volume 4 — DDD</w:t>
            </w:r>
          </w:p>
        </w:tc>
        <w:tc>
          <w:tcPr>
            <w:tcW w:type="dxa" w:w="3360"/>
          </w:tcPr>
          <w:p>
            <w:r>
              <w:t>Volume 04 — Database Design</w:t>
            </w:r>
          </w:p>
        </w:tc>
        <w:tc>
          <w:tcPr>
            <w:tcW w:type="dxa" w:w="3360"/>
          </w:tcPr>
          <w:p>
            <w:r>
              <w:t>KEEP; domain-by-domain</w:t>
            </w:r>
          </w:p>
        </w:tc>
      </w:tr>
      <w:tr>
        <w:tc>
          <w:tcPr>
            <w:tcW w:type="dxa" w:w="3360"/>
          </w:tcPr>
          <w:p>
            <w:r>
              <w:t>Volume 5 — API</w:t>
            </w:r>
          </w:p>
        </w:tc>
        <w:tc>
          <w:tcPr>
            <w:tcW w:type="dxa" w:w="3360"/>
          </w:tcPr>
          <w:p>
            <w:r>
              <w:t>Volume 06 — API Specification</w:t>
            </w:r>
          </w:p>
        </w:tc>
        <w:tc>
          <w:tcPr>
            <w:tcW w:type="dxa" w:w="3360"/>
          </w:tcPr>
          <w:p>
            <w:r>
              <w:t>RENUMBER</w:t>
            </w:r>
          </w:p>
        </w:tc>
      </w:tr>
      <w:tr>
        <w:tc>
          <w:tcPr>
            <w:tcW w:type="dxa" w:w="3360"/>
          </w:tcPr>
          <w:p>
            <w:r>
              <w:t>Volume 6 — UI/UX</w:t>
            </w:r>
          </w:p>
        </w:tc>
        <w:tc>
          <w:tcPr>
            <w:tcW w:type="dxa" w:w="3360"/>
          </w:tcPr>
          <w:p>
            <w:r>
              <w:t>Rationalize under product/technical design or dedicated UI/UX artifact</w:t>
            </w:r>
          </w:p>
        </w:tc>
        <w:tc>
          <w:tcPr>
            <w:tcW w:type="dxa" w:w="3360"/>
          </w:tcPr>
          <w:p>
            <w:r>
              <w:t>DECIDE BEFORE CREATION</w:t>
            </w:r>
          </w:p>
        </w:tc>
      </w:tr>
      <w:tr>
        <w:tc>
          <w:tcPr>
            <w:tcW w:type="dxa" w:w="3360"/>
          </w:tcPr>
          <w:p>
            <w:r>
              <w:t>Volume 7 — AI Architecture &amp; Governance</w:t>
            </w:r>
          </w:p>
        </w:tc>
        <w:tc>
          <w:tcPr>
            <w:tcW w:type="dxa" w:w="3360"/>
          </w:tcPr>
          <w:p>
            <w:r>
              <w:t>Dedicated AI artifact under controlled index</w:t>
            </w:r>
          </w:p>
        </w:tc>
        <w:tc>
          <w:tcPr>
            <w:tcW w:type="dxa" w:w="3360"/>
          </w:tcPr>
          <w:p>
            <w:r>
              <w:t>RATIONALIZE; avoid Cursor-governance duplication</w:t>
            </w:r>
          </w:p>
        </w:tc>
      </w:tr>
      <w:tr>
        <w:tc>
          <w:tcPr>
            <w:tcW w:type="dxa" w:w="3360"/>
          </w:tcPr>
          <w:p>
            <w:r>
              <w:t>Volume 8 — DevOps</w:t>
            </w:r>
          </w:p>
        </w:tc>
        <w:tc>
          <w:tcPr>
            <w:tcW w:type="dxa" w:w="3360"/>
          </w:tcPr>
          <w:p>
            <w:r>
              <w:t>Volume 09 — Deployment &amp; DevOps</w:t>
            </w:r>
          </w:p>
        </w:tc>
        <w:tc>
          <w:tcPr>
            <w:tcW w:type="dxa" w:w="3360"/>
          </w:tcPr>
          <w:p>
            <w:r>
              <w:t>RENUMBER</w:t>
            </w:r>
          </w:p>
        </w:tc>
      </w:tr>
      <w:tr>
        <w:tc>
          <w:tcPr>
            <w:tcW w:type="dxa" w:w="3360"/>
          </w:tcPr>
          <w:p>
            <w:r>
              <w:t>Volume 9 — QA</w:t>
            </w:r>
          </w:p>
        </w:tc>
        <w:tc>
          <w:tcPr>
            <w:tcW w:type="dxa" w:w="3360"/>
          </w:tcPr>
          <w:p>
            <w:r>
              <w:t>Volume 08 — Testing &amp; QA</w:t>
            </w:r>
          </w:p>
        </w:tc>
        <w:tc>
          <w:tcPr>
            <w:tcW w:type="dxa" w:w="3360"/>
          </w:tcPr>
          <w:p>
            <w:r>
              <w:t>RENUMBER</w:t>
            </w:r>
          </w:p>
        </w:tc>
      </w:tr>
      <w:tr>
        <w:tc>
          <w:tcPr>
            <w:tcW w:type="dxa" w:w="3360"/>
          </w:tcPr>
          <w:p>
            <w:r>
              <w:t>Volume 10 — Claude AI Master Build Guide</w:t>
            </w:r>
          </w:p>
        </w:tc>
        <w:tc>
          <w:tcPr>
            <w:tcW w:type="dxa" w:w="3360"/>
          </w:tcPr>
          <w:p>
            <w:r>
              <w:t>TDA-GOV-CUR-001 as primary AI-development governance</w:t>
            </w:r>
          </w:p>
        </w:tc>
        <w:tc>
          <w:tcPr>
            <w:tcW w:type="dxa" w:w="3360"/>
          </w:tcPr>
          <w:p>
            <w:r>
              <w:t>RETIRE AS PRIMARY GOVERNANCE</w:t>
            </w:r>
          </w:p>
        </w:tc>
      </w:tr>
    </w:tbl>
    <w:p>
      <w:pPr>
        <w:pStyle w:val="Heading1"/>
      </w:pPr>
      <w:r>
        <w:t>11. Required Controlled Artifacts</w:t>
      </w:r>
    </w:p>
    <w:p>
      <w:pPr>
        <w:pStyle w:val="ListBullet"/>
      </w:pPr>
      <w:r>
        <w:t>TDA-GOV-MDI-001 — Master Documentation Index — completed.</w:t>
      </w:r>
    </w:p>
    <w:p>
      <w:pPr>
        <w:pStyle w:val="ListBullet"/>
      </w:pPr>
      <w:r>
        <w:t>TDA-GOV-SOT-001 — Source-of-Truth Policy — completed.</w:t>
      </w:r>
    </w:p>
    <w:p>
      <w:pPr>
        <w:pStyle w:val="ListBullet"/>
      </w:pPr>
      <w:r>
        <w:t>TDA-GOV-CMP-001 — Change Management Policy — completed.</w:t>
      </w:r>
    </w:p>
    <w:p>
      <w:pPr>
        <w:pStyle w:val="ListBullet"/>
      </w:pPr>
      <w:r>
        <w:t>TDA-GOV-CUR-001 — Cursor Project Rules — completed.</w:t>
      </w:r>
    </w:p>
    <w:p>
      <w:pPr>
        <w:pStyle w:val="ListBullet"/>
      </w:pPr>
      <w:r>
        <w:t>Volume 01 — BRD — update and baseline.</w:t>
      </w:r>
    </w:p>
    <w:p>
      <w:pPr>
        <w:pStyle w:val="ListBullet"/>
      </w:pPr>
      <w:r>
        <w:t>Volume 02 — FRS — update, scope and trace.</w:t>
      </w:r>
    </w:p>
    <w:p>
      <w:pPr>
        <w:pStyle w:val="ListBullet"/>
      </w:pPr>
      <w:r>
        <w:t>Volume 03 — TDD — expand and baseline.</w:t>
      </w:r>
    </w:p>
    <w:p>
      <w:pPr>
        <w:pStyle w:val="ListBullet"/>
      </w:pPr>
      <w:r>
        <w:t>Volume 04 — DDD — continue domain-by-domain, starting from Domain 1.</w:t>
      </w:r>
    </w:p>
    <w:p>
      <w:pPr>
        <w:pStyle w:val="ListBullet"/>
      </w:pPr>
      <w:r>
        <w:t>Volume 05 — Domain Specifications — establish controlled domain behavior documents.</w:t>
      </w:r>
    </w:p>
    <w:p>
      <w:pPr>
        <w:pStyle w:val="ListBullet"/>
      </w:pPr>
      <w:r>
        <w:t>Volume 06 — API Specification — create.</w:t>
      </w:r>
    </w:p>
    <w:p>
      <w:pPr>
        <w:pStyle w:val="ListBullet"/>
      </w:pPr>
      <w:r>
        <w:t>Volume 07 — Security &amp; Privacy — create.</w:t>
      </w:r>
    </w:p>
    <w:p>
      <w:pPr>
        <w:pStyle w:val="ListBullet"/>
      </w:pPr>
      <w:r>
        <w:t>Volume 08 — Testing &amp; QA — create.</w:t>
      </w:r>
    </w:p>
    <w:p>
      <w:pPr>
        <w:pStyle w:val="ListBullet"/>
      </w:pPr>
      <w:r>
        <w:t>Volume 09 — Deployment &amp; DevOps — create/expand.</w:t>
      </w:r>
    </w:p>
    <w:p>
      <w:pPr>
        <w:pStyle w:val="ListBullet"/>
      </w:pPr>
      <w:r>
        <w:t>Volume 10 — Change Log — establish as controlled record.</w:t>
      </w:r>
    </w:p>
    <w:p>
      <w:pPr>
        <w:pStyle w:val="Heading1"/>
      </w:pPr>
      <w:r>
        <w:t>12. Remediation Sequence</w:t>
      </w:r>
    </w:p>
    <w:p>
      <w:pPr>
        <w:pStyle w:val="ListNumber"/>
      </w:pPr>
      <w:r>
        <w:t>Freeze this audit as the rationalization baseline.</w:t>
      </w:r>
    </w:p>
    <w:p>
      <w:pPr>
        <w:pStyle w:val="ListNumber"/>
      </w:pPr>
      <w:r>
        <w:t>Create the document-number crosswalk so legacy filenames remain traceable.</w:t>
      </w:r>
    </w:p>
    <w:p>
      <w:pPr>
        <w:pStyle w:val="ListNumber"/>
      </w:pPr>
      <w:r>
        <w:t>Update BRD status and governance references without rewriting valid requirements.</w:t>
      </w:r>
    </w:p>
    <w:p>
      <w:pPr>
        <w:pStyle w:val="ListNumber"/>
      </w:pPr>
      <w:r>
        <w:t>Update FRS with release/phase tags and formal traceability hooks.</w:t>
      </w:r>
    </w:p>
    <w:p>
      <w:pPr>
        <w:pStyle w:val="ListNumber"/>
      </w:pPr>
      <w:r>
        <w:t>Expand TDD around the current implemented architecture, especially Appointment and Notification.</w:t>
      </w:r>
    </w:p>
    <w:p>
      <w:pPr>
        <w:pStyle w:val="ListNumber"/>
      </w:pPr>
      <w:r>
        <w:t>Reconcile and baseline DDD Domain 1 against IAM requirements, TDD and security rules.</w:t>
      </w:r>
    </w:p>
    <w:p>
      <w:pPr>
        <w:pStyle w:val="ListNumber"/>
      </w:pPr>
      <w:r>
        <w:t>Create the Appointment Domain Specification because appointment behavior is a current implementation priority.</w:t>
      </w:r>
    </w:p>
    <w:p>
      <w:pPr>
        <w:pStyle w:val="ListNumber"/>
      </w:pPr>
      <w:r>
        <w:t>Create the Notification Domain Specification/architecture cross-reference so the outbox pattern is formally controlled.</w:t>
      </w:r>
    </w:p>
    <w:p>
      <w:pPr>
        <w:pStyle w:val="ListNumber"/>
      </w:pPr>
      <w:r>
        <w:t>Create the API Specification before large-scale API implementation.</w:t>
      </w:r>
    </w:p>
    <w:p>
      <w:pPr>
        <w:pStyle w:val="ListNumber"/>
      </w:pPr>
      <w:r>
        <w:t>Create Security &amp; Privacy and Testing &amp; QA before production-oriented implementation expands.</w:t>
      </w:r>
    </w:p>
    <w:p>
      <w:pPr>
        <w:pStyle w:val="ListNumber"/>
      </w:pPr>
      <w:r>
        <w:t>Continue DDD Domain 2 — Patient &amp; EHR after Domain 1 is reconciled and approved.</w:t>
      </w:r>
    </w:p>
    <w:p>
      <w:pPr>
        <w:pStyle w:val="Heading1"/>
      </w:pPr>
      <w:r>
        <w:t>13. Cursor Readiness Assessment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Area</w:t>
            </w:r>
          </w:p>
        </w:tc>
        <w:tc>
          <w:tcPr>
            <w:tcW w:type="dxa" w:w="2520"/>
          </w:tcPr>
          <w:p>
            <w:r>
              <w:t>Readiness</w:t>
            </w:r>
          </w:p>
        </w:tc>
        <w:tc>
          <w:tcPr>
            <w:tcW w:type="dxa" w:w="2520"/>
          </w:tcPr>
          <w:p>
            <w:r>
              <w:t>Gap</w:t>
            </w:r>
          </w:p>
        </w:tc>
        <w:tc>
          <w:tcPr>
            <w:tcW w:type="dxa" w:w="2520"/>
          </w:tcPr>
          <w:p>
            <w:r>
              <w:t>Priority</w:t>
            </w:r>
          </w:p>
        </w:tc>
      </w:tr>
      <w:tr>
        <w:tc>
          <w:tcPr>
            <w:tcW w:type="dxa" w:w="2520"/>
          </w:tcPr>
          <w:p>
            <w:r>
              <w:t>Product requirements</w:t>
            </w:r>
          </w:p>
        </w:tc>
        <w:tc>
          <w:tcPr>
            <w:tcW w:type="dxa" w:w="2520"/>
          </w:tcPr>
          <w:p>
            <w:r>
              <w:t>GOOD</w:t>
            </w:r>
          </w:p>
        </w:tc>
        <w:tc>
          <w:tcPr>
            <w:tcW w:type="dxa" w:w="2520"/>
          </w:tcPr>
          <w:p>
            <w:r>
              <w:t>Release/phase tagging and governance metadata</w:t>
            </w:r>
          </w:p>
        </w:tc>
        <w:tc>
          <w:tcPr>
            <w:tcW w:type="dxa" w:w="2520"/>
          </w:tcPr>
          <w:p>
            <w:r>
              <w:t>P1</w:t>
            </w:r>
          </w:p>
        </w:tc>
      </w:tr>
      <w:tr>
        <w:tc>
          <w:tcPr>
            <w:tcW w:type="dxa" w:w="2520"/>
          </w:tcPr>
          <w:p>
            <w:r>
              <w:t>Functional requirements</w:t>
            </w:r>
          </w:p>
        </w:tc>
        <w:tc>
          <w:tcPr>
            <w:tcW w:type="dxa" w:w="2520"/>
          </w:tcPr>
          <w:p>
            <w:r>
              <w:t>GOOD</w:t>
            </w:r>
          </w:p>
        </w:tc>
        <w:tc>
          <w:tcPr>
            <w:tcW w:type="dxa" w:w="2520"/>
          </w:tcPr>
          <w:p>
            <w:r>
              <w:t>Traceability matrix and acceptance IDs</w:t>
            </w:r>
          </w:p>
        </w:tc>
        <w:tc>
          <w:tcPr>
            <w:tcW w:type="dxa" w:w="2520"/>
          </w:tcPr>
          <w:p>
            <w:r>
              <w:t>P1</w:t>
            </w:r>
          </w:p>
        </w:tc>
      </w:tr>
      <w:tr>
        <w:tc>
          <w:tcPr>
            <w:tcW w:type="dxa" w:w="2520"/>
          </w:tcPr>
          <w:p>
            <w:r>
              <w:t>Architecture</w:t>
            </w:r>
          </w:p>
        </w:tc>
        <w:tc>
          <w:tcPr>
            <w:tcW w:type="dxa" w:w="2520"/>
          </w:tcPr>
          <w:p>
            <w:r>
              <w:t>GOOD</w:t>
            </w:r>
          </w:p>
        </w:tc>
        <w:tc>
          <w:tcPr>
            <w:tcW w:type="dxa" w:w="2520"/>
          </w:tcPr>
          <w:p>
            <w:r>
              <w:t>More implementation-level detail required</w:t>
            </w:r>
          </w:p>
        </w:tc>
        <w:tc>
          <w:tcPr>
            <w:tcW w:type="dxa" w:w="2520"/>
          </w:tcPr>
          <w:p>
            <w:r>
              <w:t>P1</w:t>
            </w:r>
          </w:p>
        </w:tc>
      </w:tr>
      <w:tr>
        <w:tc>
          <w:tcPr>
            <w:tcW w:type="dxa" w:w="2520"/>
          </w:tcPr>
          <w:p>
            <w:r>
              <w:t>Database</w:t>
            </w:r>
          </w:p>
        </w:tc>
        <w:tc>
          <w:tcPr>
            <w:tcW w:type="dxa" w:w="2520"/>
          </w:tcPr>
          <w:p>
            <w:r>
              <w:t>GOOD for Domain 1</w:t>
            </w:r>
          </w:p>
        </w:tc>
        <w:tc>
          <w:tcPr>
            <w:tcW w:type="dxa" w:w="2520"/>
          </w:tcPr>
          <w:p>
            <w:r>
              <w:t>Reconciliation and migration conventions</w:t>
            </w:r>
          </w:p>
        </w:tc>
        <w:tc>
          <w:tcPr>
            <w:tcW w:type="dxa" w:w="2520"/>
          </w:tcPr>
          <w:p>
            <w:r>
              <w:t>P1</w:t>
            </w:r>
          </w:p>
        </w:tc>
      </w:tr>
      <w:tr>
        <w:tc>
          <w:tcPr>
            <w:tcW w:type="dxa" w:w="2520"/>
          </w:tcPr>
          <w:p>
            <w:r>
              <w:t>API contracts</w:t>
            </w:r>
          </w:p>
        </w:tc>
        <w:tc>
          <w:tcPr>
            <w:tcW w:type="dxa" w:w="2520"/>
          </w:tcPr>
          <w:p>
            <w:r>
              <w:t>NOT READY</w:t>
            </w:r>
          </w:p>
        </w:tc>
        <w:tc>
          <w:tcPr>
            <w:tcW w:type="dxa" w:w="2520"/>
          </w:tcPr>
          <w:p>
            <w:r>
              <w:t>Standalone controlled API specification missing</w:t>
            </w:r>
          </w:p>
        </w:tc>
        <w:tc>
          <w:tcPr>
            <w:tcW w:type="dxa" w:w="2520"/>
          </w:tcPr>
          <w:p>
            <w:r>
              <w:t>P1</w:t>
            </w:r>
          </w:p>
        </w:tc>
      </w:tr>
      <w:tr>
        <w:tc>
          <w:tcPr>
            <w:tcW w:type="dxa" w:w="2520"/>
          </w:tcPr>
          <w:p>
            <w:r>
              <w:t>Security</w:t>
            </w:r>
          </w:p>
        </w:tc>
        <w:tc>
          <w:tcPr>
            <w:tcW w:type="dxa" w:w="2520"/>
          </w:tcPr>
          <w:p>
            <w:r>
              <w:t>PARTIAL</w:t>
            </w:r>
          </w:p>
        </w:tc>
        <w:tc>
          <w:tcPr>
            <w:tcW w:type="dxa" w:w="2520"/>
          </w:tcPr>
          <w:p>
            <w:r>
              <w:t>Dedicated security specification missing</w:t>
            </w:r>
          </w:p>
        </w:tc>
        <w:tc>
          <w:tcPr>
            <w:tcW w:type="dxa" w:w="2520"/>
          </w:tcPr>
          <w:p>
            <w:r>
              <w:t>P1</w:t>
            </w:r>
          </w:p>
        </w:tc>
      </w:tr>
      <w:tr>
        <w:tc>
          <w:tcPr>
            <w:tcW w:type="dxa" w:w="2520"/>
          </w:tcPr>
          <w:p>
            <w:r>
              <w:t>Testing</w:t>
            </w:r>
          </w:p>
        </w:tc>
        <w:tc>
          <w:tcPr>
            <w:tcW w:type="dxa" w:w="2520"/>
          </w:tcPr>
          <w:p>
            <w:r>
              <w:t>PARTIAL</w:t>
            </w:r>
          </w:p>
        </w:tc>
        <w:tc>
          <w:tcPr>
            <w:tcW w:type="dxa" w:w="2520"/>
          </w:tcPr>
          <w:p>
            <w:r>
              <w:t>Controlled QA/test strategy missing</w:t>
            </w:r>
          </w:p>
        </w:tc>
        <w:tc>
          <w:tcPr>
            <w:tcW w:type="dxa" w:w="2520"/>
          </w:tcPr>
          <w:p>
            <w:r>
              <w:t>P1</w:t>
            </w:r>
          </w:p>
        </w:tc>
      </w:tr>
      <w:tr>
        <w:tc>
          <w:tcPr>
            <w:tcW w:type="dxa" w:w="2520"/>
          </w:tcPr>
          <w:p>
            <w:r>
              <w:t>DevOps</w:t>
            </w:r>
          </w:p>
        </w:tc>
        <w:tc>
          <w:tcPr>
            <w:tcW w:type="dxa" w:w="2520"/>
          </w:tcPr>
          <w:p>
            <w:r>
              <w:t>PARTIAL</w:t>
            </w:r>
          </w:p>
        </w:tc>
        <w:tc>
          <w:tcPr>
            <w:tcW w:type="dxa" w:w="2520"/>
          </w:tcPr>
          <w:p>
            <w:r>
              <w:t>Deployment/rollback/observability detail missing</w:t>
            </w:r>
          </w:p>
        </w:tc>
        <w:tc>
          <w:tcPr>
            <w:tcW w:type="dxa" w:w="2520"/>
          </w:tcPr>
          <w:p>
            <w:r>
              <w:t>P1</w:t>
            </w:r>
          </w:p>
        </w:tc>
      </w:tr>
      <w:tr>
        <w:tc>
          <w:tcPr>
            <w:tcW w:type="dxa" w:w="2520"/>
          </w:tcPr>
          <w:p>
            <w:r>
              <w:t>AI governance</w:t>
            </w:r>
          </w:p>
        </w:tc>
        <w:tc>
          <w:tcPr>
            <w:tcW w:type="dxa" w:w="2520"/>
          </w:tcPr>
          <w:p>
            <w:r>
              <w:t>GOOD</w:t>
            </w:r>
          </w:p>
        </w:tc>
        <w:tc>
          <w:tcPr>
            <w:tcW w:type="dxa" w:w="2520"/>
          </w:tcPr>
          <w:p>
            <w:r>
              <w:t>Cursor rules now established</w:t>
            </w:r>
          </w:p>
        </w:tc>
        <w:tc>
          <w:tcPr>
            <w:tcW w:type="dxa" w:w="2520"/>
          </w:tcPr>
          <w:p>
            <w:r>
              <w:t>P1</w:t>
            </w:r>
          </w:p>
        </w:tc>
      </w:tr>
    </w:tbl>
    <w:p>
      <w:pPr>
        <w:pStyle w:val="Heading1"/>
      </w:pPr>
      <w:r>
        <w:t>14. Risks If Rationalization Is Skipped</w:t>
      </w:r>
    </w:p>
    <w:p>
      <w:pPr>
        <w:pStyle w:val="ListBullet"/>
      </w:pPr>
      <w:r>
        <w:t>Cursor may use documents with different numbering or status assumptions.</w:t>
      </w:r>
    </w:p>
    <w:p>
      <w:pPr>
        <w:pStyle w:val="ListBullet"/>
      </w:pPr>
      <w:r>
        <w:t>API behavior may be implemented before the API contract is formally controlled.</w:t>
      </w:r>
    </w:p>
    <w:p>
      <w:pPr>
        <w:pStyle w:val="ListBullet"/>
      </w:pPr>
      <w:r>
        <w:t>Database design may diverge from functional requirements.</w:t>
      </w:r>
    </w:p>
    <w:p>
      <w:pPr>
        <w:pStyle w:val="ListBullet"/>
      </w:pPr>
      <w:r>
        <w:t>Implemented notification architecture may be accidentally replaced by an incorrect simpler pattern.</w:t>
      </w:r>
    </w:p>
    <w:p>
      <w:pPr>
        <w:pStyle w:val="ListBullet"/>
      </w:pPr>
      <w:r>
        <w:t>Security and testing requirements may remain distributed and inconsistently applied.</w:t>
      </w:r>
    </w:p>
    <w:p>
      <w:pPr>
        <w:pStyle w:val="ListBullet"/>
      </w:pPr>
      <w:r>
        <w:t>Future documents may duplicate existing requirements, recreating the 1,000-page documentation problem.</w:t>
      </w:r>
    </w:p>
    <w:p>
      <w:pPr>
        <w:pStyle w:val="Heading1"/>
      </w:pPr>
      <w:r>
        <w:t>15. Final Audit Conclusion</w:t>
      </w:r>
    </w:p>
    <w:p>
      <w:r>
        <w:rPr>
          <w:b/>
        </w:rPr>
        <w:t>The supplied Volumes 1–4 form a strong foundation. The correct strategy is controlled rationalization—not wholesale rewriting.</w:t>
      </w:r>
    </w:p>
    <w:p>
      <w:r>
        <w:t>The new governance layer should become the authoritative control plane. Valid existing requirements and technical content should be preserved while numbering, status, traceability, cross-document consistency and missing engineering contracts are progressively corrected.</w:t>
      </w:r>
    </w:p>
    <w:p>
      <w:r>
        <w:t>The project is documentation-ready for the next controlled phase, provided the P1 remediation sequence is followed before broad Cursor implementation continues.</w:t>
      </w:r>
    </w:p>
    <w:p>
      <w:pPr>
        <w:pStyle w:val="Heading1"/>
      </w:pPr>
      <w:r>
        <w:t>16. Baseline Record</w:t>
      </w:r>
    </w:p>
    <w:tbl>
      <w:tblPr>
        <w:tblStyle w:val="TableGrid"/>
        <w:tblW w:type="auto" w:w="0"/>
        <w:tblLook w:firstColumn="1" w:firstRow="1" w:lastColumn="0" w:lastRow="0" w:noHBand="0" w:noVBand="1" w:val="04A0"/>
      </w:tblPr>
      <w:tblGrid>
        <w:gridCol w:w="3360"/>
        <w:gridCol w:w="3360"/>
        <w:gridCol w:w="3360"/>
      </w:tblGrid>
      <w:tr>
        <w:tc>
          <w:tcPr>
            <w:tcW w:type="dxa" w:w="3360"/>
          </w:tcPr>
          <w:p>
            <w:r>
              <w:t>Field</w:t>
            </w:r>
          </w:p>
        </w:tc>
        <w:tc>
          <w:tcPr>
            <w:tcW w:type="dxa" w:w="3360"/>
          </w:tcPr>
          <w:p>
            <w:r>
              <w:t>Value</w:t>
            </w:r>
          </w:p>
        </w:tc>
        <w:tc>
          <w:tcPr>
            <w:tcW w:type="dxa" w:w="3360"/>
          </w:tcPr>
          <w:p>
            <w:r>
              <w:t>Notes</w:t>
            </w:r>
          </w:p>
        </w:tc>
      </w:tr>
      <w:tr>
        <w:tc>
          <w:tcPr>
            <w:tcW w:type="dxa" w:w="3360"/>
          </w:tcPr>
          <w:p>
            <w:r>
              <w:t>Audit status</w:t>
            </w:r>
          </w:p>
        </w:tc>
        <w:tc>
          <w:tcPr>
            <w:tcW w:type="dxa" w:w="3360"/>
          </w:tcPr>
          <w:p>
            <w:r>
              <w:t>BASELINE RECOMMENDATION</w:t>
            </w:r>
          </w:p>
        </w:tc>
        <w:tc>
          <w:tcPr>
            <w:tcW w:type="dxa" w:w="3360"/>
          </w:tcPr>
          <w:p>
            <w:r>
              <w:t>Awaiting project-owner acceptance</w:t>
            </w:r>
          </w:p>
        </w:tc>
      </w:tr>
      <w:tr>
        <w:tc>
          <w:tcPr>
            <w:tcW w:type="dxa" w:w="3360"/>
          </w:tcPr>
          <w:p>
            <w:r>
              <w:t>Reviewed documents</w:t>
            </w:r>
          </w:p>
        </w:tc>
        <w:tc>
          <w:tcPr>
            <w:tcW w:type="dxa" w:w="3360"/>
          </w:tcPr>
          <w:p>
            <w:r>
              <w:t>Volumes 1–4 supplied on 14 Aug 2026</w:t>
            </w:r>
          </w:p>
        </w:tc>
        <w:tc>
          <w:tcPr>
            <w:tcW w:type="dxa" w:w="3360"/>
          </w:tcPr>
          <w:p>
            <w:r>
              <w:t>DOCX + Markdown packages</w:t>
            </w:r>
          </w:p>
        </w:tc>
      </w:tr>
      <w:tr>
        <w:tc>
          <w:tcPr>
            <w:tcW w:type="dxa" w:w="3360"/>
          </w:tcPr>
          <w:p>
            <w:r>
              <w:t>Governance references</w:t>
            </w:r>
          </w:p>
        </w:tc>
        <w:tc>
          <w:tcPr>
            <w:tcW w:type="dxa" w:w="3360"/>
          </w:tcPr>
          <w:p>
            <w:r>
              <w:t>TDA-GOV-MDI-001 / SOT-001 / CMP-001 / CUR-001</w:t>
            </w:r>
          </w:p>
        </w:tc>
        <w:tc>
          <w:tcPr>
            <w:tcW w:type="dxa" w:w="3360"/>
          </w:tcPr>
          <w:p>
            <w:r>
              <w:t>Current governance baseline</w:t>
            </w:r>
          </w:p>
        </w:tc>
      </w:tr>
      <w:tr>
        <w:tc>
          <w:tcPr>
            <w:tcW w:type="dxa" w:w="3360"/>
          </w:tcPr>
          <w:p>
            <w:r>
              <w:t>Next controlled action</w:t>
            </w:r>
          </w:p>
        </w:tc>
        <w:tc>
          <w:tcPr>
            <w:tcW w:type="dxa" w:w="3360"/>
          </w:tcPr>
          <w:p>
            <w:r>
              <w:t>Execute P1 remediation sequence</w:t>
            </w:r>
          </w:p>
        </w:tc>
        <w:tc>
          <w:tcPr>
            <w:tcW w:type="dxa" w:w="3360"/>
          </w:tcPr>
          <w:p>
            <w:r>
              <w:t>Do not rewrite valid content unnecessarily</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