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6"/>
        </w:rPr>
        <w:t>DentalCare AI</w:t>
      </w:r>
    </w:p>
    <w:p>
      <w:pPr>
        <w:jc w:val="center"/>
      </w:pPr>
      <w:r>
        <w:rPr>
          <w:b/>
          <w:i w:val="0"/>
          <w:sz w:val="34"/>
        </w:rPr>
        <w:t>TDA-IMP-M1-001 — Foundation &amp; Identity Implementation Plan</w:t>
      </w:r>
    </w:p>
    <w:p>
      <w:pPr>
        <w:jc w:val="center"/>
      </w:pPr>
      <w:r>
        <w:rPr>
          <w:b/>
          <w:i w:val="0"/>
          <w:sz w:val="22"/>
        </w:rPr>
        <w:t>Version 1.0 | Status: READY FOR EXECUTION | 14 August 2026</w:t>
      </w:r>
    </w:p>
    <w:p>
      <w:pPr>
        <w:jc w:val="center"/>
      </w:pPr>
      <w:r>
        <w:rPr>
          <w:b w:val="0"/>
          <w:i/>
          <w:sz w:val="19"/>
        </w:rPr>
        <w:t>Controlled implementation milestone for tenant context, authentication, authorization, audit and API foundation</w:t>
      </w:r>
    </w:p>
    <w:p>
      <w:pPr>
        <w:pStyle w:val="Heading1"/>
      </w:pPr>
      <w:r>
        <w:t>1. Purpose</w:t>
      </w:r>
    </w:p>
    <w:p>
      <w:r>
        <w:t>M1 establishes the reusable security and application foundation required by Patient, Appointment and Notification domains. It must be implemented before domain feature development begins.</w:t>
      </w:r>
    </w:p>
    <w:p>
      <w:pPr>
        <w:pStyle w:val="Heading1"/>
      </w:pPr>
      <w:r>
        <w:t>2. Source-of-Truth Inputs</w:t>
      </w:r>
    </w:p>
    <w:tbl>
      <w:tblPr>
        <w:tblStyle w:val="TableGrid"/>
        <w:tblW w:type="auto" w:w="0"/>
        <w:tblLook w:firstColumn="1" w:firstRow="1" w:lastColumn="0" w:lastRow="0" w:noHBand="0" w:noVBand="1" w:val="04A0"/>
      </w:tblPr>
      <w:tblGrid>
        <w:gridCol w:w="5184"/>
        <w:gridCol w:w="5184"/>
      </w:tblGrid>
      <w:tr>
        <w:tc>
          <w:tcPr>
            <w:tcW w:type="dxa" w:w="5184"/>
          </w:tcPr>
          <w:p>
            <w:r>
              <w:t>Document</w:t>
            </w:r>
          </w:p>
        </w:tc>
        <w:tc>
          <w:tcPr>
            <w:tcW w:type="dxa" w:w="5184"/>
          </w:tcPr>
          <w:p>
            <w:r>
              <w:t>Use</w:t>
            </w:r>
          </w:p>
        </w:tc>
      </w:tr>
      <w:tr>
        <w:tc>
          <w:tcPr>
            <w:tcW w:type="dxa" w:w="5184"/>
          </w:tcPr>
          <w:p>
            <w:r>
              <w:t>TDA-GOV-SOT-001</w:t>
            </w:r>
          </w:p>
        </w:tc>
        <w:tc>
          <w:tcPr>
            <w:tcW w:type="dxa" w:w="5184"/>
          </w:tcPr>
          <w:p>
            <w:r>
              <w:t>Authority hierarchy</w:t>
            </w:r>
          </w:p>
        </w:tc>
      </w:tr>
      <w:tr>
        <w:tc>
          <w:tcPr>
            <w:tcW w:type="dxa" w:w="5184"/>
          </w:tcPr>
          <w:p>
            <w:r>
              <w:t>TDA-GOV-CUR-001</w:t>
            </w:r>
          </w:p>
        </w:tc>
        <w:tc>
          <w:tcPr>
            <w:tcW w:type="dxa" w:w="5184"/>
          </w:tcPr>
          <w:p>
            <w:r>
              <w:t>Cursor execution rules</w:t>
            </w:r>
          </w:p>
        </w:tc>
      </w:tr>
      <w:tr>
        <w:tc>
          <w:tcPr>
            <w:tcW w:type="dxa" w:w="5184"/>
          </w:tcPr>
          <w:p>
            <w:r>
              <w:t>TDA-GOV-CMP-001</w:t>
            </w:r>
          </w:p>
        </w:tc>
        <w:tc>
          <w:tcPr>
            <w:tcW w:type="dxa" w:w="5184"/>
          </w:tcPr>
          <w:p>
            <w:r>
              <w:t>Change control</w:t>
            </w:r>
          </w:p>
        </w:tc>
      </w:tr>
      <w:tr>
        <w:tc>
          <w:tcPr>
            <w:tcW w:type="dxa" w:w="5184"/>
          </w:tcPr>
          <w:p>
            <w:r>
              <w:t>TDA-IMP-001</w:t>
            </w:r>
          </w:p>
        </w:tc>
        <w:tc>
          <w:tcPr>
            <w:tcW w:type="dxa" w:w="5184"/>
          </w:tcPr>
          <w:p>
            <w:r>
              <w:t>Delivery workflow</w:t>
            </w:r>
          </w:p>
        </w:tc>
      </w:tr>
      <w:tr>
        <w:tc>
          <w:tcPr>
            <w:tcW w:type="dxa" w:w="5184"/>
          </w:tcPr>
          <w:p>
            <w:r>
              <w:t>TDA-SEC-001</w:t>
            </w:r>
          </w:p>
        </w:tc>
        <w:tc>
          <w:tcPr>
            <w:tcW w:type="dxa" w:w="5184"/>
          </w:tcPr>
          <w:p>
            <w:r>
              <w:t>Security baseline</w:t>
            </w:r>
          </w:p>
        </w:tc>
      </w:tr>
      <w:tr>
        <w:tc>
          <w:tcPr>
            <w:tcW w:type="dxa" w:w="5184"/>
          </w:tcPr>
          <w:p>
            <w:r>
              <w:t>TDA-QA-001</w:t>
            </w:r>
          </w:p>
        </w:tc>
        <w:tc>
          <w:tcPr>
            <w:tcW w:type="dxa" w:w="5184"/>
          </w:tcPr>
          <w:p>
            <w:r>
              <w:t>Quality gates</w:t>
            </w:r>
          </w:p>
        </w:tc>
      </w:tr>
      <w:tr>
        <w:tc>
          <w:tcPr>
            <w:tcW w:type="dxa" w:w="5184"/>
          </w:tcPr>
          <w:p>
            <w:r>
              <w:t>TDA-API-001</w:t>
            </w:r>
          </w:p>
        </w:tc>
        <w:tc>
          <w:tcPr>
            <w:tcW w:type="dxa" w:w="5184"/>
          </w:tcPr>
          <w:p>
            <w:r>
              <w:t>API conventions</w:t>
            </w:r>
          </w:p>
        </w:tc>
      </w:tr>
      <w:tr>
        <w:tc>
          <w:tcPr>
            <w:tcW w:type="dxa" w:w="5184"/>
          </w:tcPr>
          <w:p>
            <w:r>
              <w:t>TDA-IMP-M0-001</w:t>
            </w:r>
          </w:p>
        </w:tc>
        <w:tc>
          <w:tcPr>
            <w:tcW w:type="dxa" w:w="5184"/>
          </w:tcPr>
          <w:p>
            <w:r>
              <w:t>Repository/tooling baseline</w:t>
            </w:r>
          </w:p>
        </w:tc>
      </w:tr>
    </w:tbl>
    <w:p>
      <w:pPr>
        <w:pStyle w:val="Heading1"/>
      </w:pPr>
      <w:r>
        <w:t>3. M1 Scope</w:t>
      </w:r>
    </w:p>
    <w:p>
      <w:pPr>
        <w:pStyle w:val="ListBullet"/>
      </w:pPr>
      <w:r>
        <w:t>Tenant/organization context.</w:t>
      </w:r>
    </w:p>
    <w:p>
      <w:pPr>
        <w:pStyle w:val="ListBullet"/>
      </w:pPr>
      <w:r>
        <w:t>Authentication integration using the approved identity mechanism.</w:t>
      </w:r>
    </w:p>
    <w:p>
      <w:pPr>
        <w:pStyle w:val="ListBullet"/>
      </w:pPr>
      <w:r>
        <w:t>Authorization primitives and permission evaluation.</w:t>
      </w:r>
    </w:p>
    <w:p>
      <w:pPr>
        <w:pStyle w:val="ListBullet"/>
      </w:pPr>
      <w:r>
        <w:t>Common API error/response conventions.</w:t>
      </w:r>
    </w:p>
    <w:p>
      <w:pPr>
        <w:pStyle w:val="ListBullet"/>
      </w:pPr>
      <w:r>
        <w:t>Correlation/request context.</w:t>
      </w:r>
    </w:p>
    <w:p>
      <w:pPr>
        <w:pStyle w:val="ListBullet"/>
      </w:pPr>
      <w:r>
        <w:t>Audit foundation.</w:t>
      </w:r>
    </w:p>
    <w:p>
      <w:pPr>
        <w:pStyle w:val="ListBullet"/>
      </w:pPr>
      <w:r>
        <w:t>Base persistence/migration conventions.</w:t>
      </w:r>
    </w:p>
    <w:p>
      <w:pPr>
        <w:pStyle w:val="ListBullet"/>
      </w:pPr>
      <w:r>
        <w:t>Common configuration and secret-management integration points.</w:t>
      </w:r>
    </w:p>
    <w:p>
      <w:pPr>
        <w:pStyle w:val="ListBullet"/>
      </w:pPr>
      <w:r>
        <w:t>Foundation-level automated tests.</w:t>
      </w:r>
    </w:p>
    <w:p>
      <w:pPr>
        <w:pStyle w:val="Heading1"/>
      </w:pPr>
      <w:r>
        <w:t>4. M1 Non-Scope</w:t>
      </w:r>
    </w:p>
    <w:p>
      <w:pPr>
        <w:pStyle w:val="ListBullet"/>
      </w:pPr>
      <w:r>
        <w:t>Patient business features.</w:t>
      </w:r>
    </w:p>
    <w:p>
      <w:pPr>
        <w:pStyle w:val="ListBullet"/>
      </w:pPr>
      <w:r>
        <w:t>Appointment lifecycle.</w:t>
      </w:r>
    </w:p>
    <w:p>
      <w:pPr>
        <w:pStyle w:val="ListBullet"/>
      </w:pPr>
      <w:r>
        <w:t>Notification provider integration.</w:t>
      </w:r>
    </w:p>
    <w:p>
      <w:pPr>
        <w:pStyle w:val="ListBullet"/>
      </w:pPr>
      <w:r>
        <w:t>Clinical records.</w:t>
      </w:r>
    </w:p>
    <w:p>
      <w:pPr>
        <w:pStyle w:val="ListBullet"/>
      </w:pPr>
      <w:r>
        <w:t>Billing/payments.</w:t>
      </w:r>
    </w:p>
    <w:p>
      <w:pPr>
        <w:pStyle w:val="ListBullet"/>
      </w:pPr>
      <w:r>
        <w:t>Public booking.</w:t>
      </w:r>
    </w:p>
    <w:p>
      <w:pPr>
        <w:pStyle w:val="ListBullet"/>
      </w:pPr>
      <w:r>
        <w:t>Production deployment changes unless required only to validate foundation.</w:t>
      </w:r>
    </w:p>
    <w:p>
      <w:pPr>
        <w:pStyle w:val="Heading1"/>
      </w:pPr>
      <w:r>
        <w:t>5. Target Foundation Flow</w:t>
      </w:r>
    </w:p>
    <w:p>
      <w:r>
        <w:rPr>
          <w:b/>
        </w:rPr>
        <w:t>Request → Authentication → Tenant Context → Authorization → Application Service → Repository/DB → Audit</w:t>
      </w:r>
    </w:p>
    <w:p>
      <w:r>
        <w:t>The same authorization and tenant primitives must be reusable by Patient and Appointment APIs.</w:t>
      </w:r>
    </w:p>
    <w:p>
      <w:pPr>
        <w:pStyle w:val="Heading1"/>
      </w:pPr>
      <w:r>
        <w:t>6. Work Packages</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ID</w:t>
            </w:r>
          </w:p>
        </w:tc>
        <w:tc>
          <w:tcPr>
            <w:tcW w:type="dxa" w:w="2592"/>
          </w:tcPr>
          <w:p>
            <w:r>
              <w:t>Work Package</w:t>
            </w:r>
          </w:p>
        </w:tc>
        <w:tc>
          <w:tcPr>
            <w:tcW w:type="dxa" w:w="2592"/>
          </w:tcPr>
          <w:p>
            <w:r>
              <w:t>Output</w:t>
            </w:r>
          </w:p>
        </w:tc>
        <w:tc>
          <w:tcPr>
            <w:tcW w:type="dxa" w:w="2592"/>
          </w:tcPr>
          <w:p>
            <w:r>
              <w:t>Gate</w:t>
            </w:r>
          </w:p>
        </w:tc>
      </w:tr>
      <w:tr>
        <w:tc>
          <w:tcPr>
            <w:tcW w:type="dxa" w:w="2592"/>
          </w:tcPr>
          <w:p>
            <w:r>
              <w:t>M1-WP01</w:t>
            </w:r>
          </w:p>
        </w:tc>
        <w:tc>
          <w:tcPr>
            <w:tcW w:type="dxa" w:w="2592"/>
          </w:tcPr>
          <w:p>
            <w:r>
              <w:t>Application structure</w:t>
            </w:r>
          </w:p>
        </w:tc>
        <w:tc>
          <w:tcPr>
            <w:tcW w:type="dxa" w:w="2592"/>
          </w:tcPr>
          <w:p>
            <w:r>
              <w:t>Approved module/layer structure</w:t>
            </w:r>
          </w:p>
        </w:tc>
        <w:tc>
          <w:tcPr>
            <w:tcW w:type="dxa" w:w="2592"/>
          </w:tcPr>
          <w:p>
            <w:r>
              <w:t>Architecture review</w:t>
            </w:r>
          </w:p>
        </w:tc>
      </w:tr>
      <w:tr>
        <w:tc>
          <w:tcPr>
            <w:tcW w:type="dxa" w:w="2592"/>
          </w:tcPr>
          <w:p>
            <w:r>
              <w:t>M1-WP02</w:t>
            </w:r>
          </w:p>
        </w:tc>
        <w:tc>
          <w:tcPr>
            <w:tcW w:type="dxa" w:w="2592"/>
          </w:tcPr>
          <w:p>
            <w:r>
              <w:t>Tenant context</w:t>
            </w:r>
          </w:p>
        </w:tc>
        <w:tc>
          <w:tcPr>
            <w:tcW w:type="dxa" w:w="2592"/>
          </w:tcPr>
          <w:p>
            <w:r>
              <w:t>Trusted organization context</w:t>
            </w:r>
          </w:p>
        </w:tc>
        <w:tc>
          <w:tcPr>
            <w:tcW w:type="dxa" w:w="2592"/>
          </w:tcPr>
          <w:p>
            <w:r>
              <w:t>Tenant tests</w:t>
            </w:r>
          </w:p>
        </w:tc>
      </w:tr>
      <w:tr>
        <w:tc>
          <w:tcPr>
            <w:tcW w:type="dxa" w:w="2592"/>
          </w:tcPr>
          <w:p>
            <w:r>
              <w:t>M1-WP03</w:t>
            </w:r>
          </w:p>
        </w:tc>
        <w:tc>
          <w:tcPr>
            <w:tcW w:type="dxa" w:w="2592"/>
          </w:tcPr>
          <w:p>
            <w:r>
              <w:t>Authentication</w:t>
            </w:r>
          </w:p>
        </w:tc>
        <w:tc>
          <w:tcPr>
            <w:tcW w:type="dxa" w:w="2592"/>
          </w:tcPr>
          <w:p>
            <w:r>
              <w:t>Authenticated principal</w:t>
            </w:r>
          </w:p>
        </w:tc>
        <w:tc>
          <w:tcPr>
            <w:tcW w:type="dxa" w:w="2592"/>
          </w:tcPr>
          <w:p>
            <w:r>
              <w:t>Auth tests</w:t>
            </w:r>
          </w:p>
        </w:tc>
      </w:tr>
      <w:tr>
        <w:tc>
          <w:tcPr>
            <w:tcW w:type="dxa" w:w="2592"/>
          </w:tcPr>
          <w:p>
            <w:r>
              <w:t>M1-WP04</w:t>
            </w:r>
          </w:p>
        </w:tc>
        <w:tc>
          <w:tcPr>
            <w:tcW w:type="dxa" w:w="2592"/>
          </w:tcPr>
          <w:p>
            <w:r>
              <w:t>Authorization</w:t>
            </w:r>
          </w:p>
        </w:tc>
        <w:tc>
          <w:tcPr>
            <w:tcW w:type="dxa" w:w="2592"/>
          </w:tcPr>
          <w:p>
            <w:r>
              <w:t>Permission/object policy primitives</w:t>
            </w:r>
          </w:p>
        </w:tc>
        <w:tc>
          <w:tcPr>
            <w:tcW w:type="dxa" w:w="2592"/>
          </w:tcPr>
          <w:p>
            <w:r>
              <w:t>RBAC/BOLA tests</w:t>
            </w:r>
          </w:p>
        </w:tc>
      </w:tr>
      <w:tr>
        <w:tc>
          <w:tcPr>
            <w:tcW w:type="dxa" w:w="2592"/>
          </w:tcPr>
          <w:p>
            <w:r>
              <w:t>M1-WP05</w:t>
            </w:r>
          </w:p>
        </w:tc>
        <w:tc>
          <w:tcPr>
            <w:tcW w:type="dxa" w:w="2592"/>
          </w:tcPr>
          <w:p>
            <w:r>
              <w:t>API foundation</w:t>
            </w:r>
          </w:p>
        </w:tc>
        <w:tc>
          <w:tcPr>
            <w:tcW w:type="dxa" w:w="2592"/>
          </w:tcPr>
          <w:p>
            <w:r>
              <w:t>Error/correlation conventions</w:t>
            </w:r>
          </w:p>
        </w:tc>
        <w:tc>
          <w:tcPr>
            <w:tcW w:type="dxa" w:w="2592"/>
          </w:tcPr>
          <w:p>
            <w:r>
              <w:t>Contract tests</w:t>
            </w:r>
          </w:p>
        </w:tc>
      </w:tr>
      <w:tr>
        <w:tc>
          <w:tcPr>
            <w:tcW w:type="dxa" w:w="2592"/>
          </w:tcPr>
          <w:p>
            <w:r>
              <w:t>M1-WP06</w:t>
            </w:r>
          </w:p>
        </w:tc>
        <w:tc>
          <w:tcPr>
            <w:tcW w:type="dxa" w:w="2592"/>
          </w:tcPr>
          <w:p>
            <w:r>
              <w:t>Audit foundation</w:t>
            </w:r>
          </w:p>
        </w:tc>
        <w:tc>
          <w:tcPr>
            <w:tcW w:type="dxa" w:w="2592"/>
          </w:tcPr>
          <w:p>
            <w:r>
              <w:t>Audit service/schema/path</w:t>
            </w:r>
          </w:p>
        </w:tc>
        <w:tc>
          <w:tcPr>
            <w:tcW w:type="dxa" w:w="2592"/>
          </w:tcPr>
          <w:p>
            <w:r>
              <w:t>Audit tests</w:t>
            </w:r>
          </w:p>
        </w:tc>
      </w:tr>
      <w:tr>
        <w:tc>
          <w:tcPr>
            <w:tcW w:type="dxa" w:w="2592"/>
          </w:tcPr>
          <w:p>
            <w:r>
              <w:t>M1-WP07</w:t>
            </w:r>
          </w:p>
        </w:tc>
        <w:tc>
          <w:tcPr>
            <w:tcW w:type="dxa" w:w="2592"/>
          </w:tcPr>
          <w:p>
            <w:r>
              <w:t>Persistence foundation</w:t>
            </w:r>
          </w:p>
        </w:tc>
        <w:tc>
          <w:tcPr>
            <w:tcW w:type="dxa" w:w="2592"/>
          </w:tcPr>
          <w:p>
            <w:r>
              <w:t>DB context/migrations/conventions</w:t>
            </w:r>
          </w:p>
        </w:tc>
        <w:tc>
          <w:tcPr>
            <w:tcW w:type="dxa" w:w="2592"/>
          </w:tcPr>
          <w:p>
            <w:r>
              <w:t>Integration tests</w:t>
            </w:r>
          </w:p>
        </w:tc>
      </w:tr>
      <w:tr>
        <w:tc>
          <w:tcPr>
            <w:tcW w:type="dxa" w:w="2592"/>
          </w:tcPr>
          <w:p>
            <w:r>
              <w:t>M1-WP08</w:t>
            </w:r>
          </w:p>
        </w:tc>
        <w:tc>
          <w:tcPr>
            <w:tcW w:type="dxa" w:w="2592"/>
          </w:tcPr>
          <w:p>
            <w:r>
              <w:t>Configuration/secrets</w:t>
            </w:r>
          </w:p>
        </w:tc>
        <w:tc>
          <w:tcPr>
            <w:tcW w:type="dxa" w:w="2592"/>
          </w:tcPr>
          <w:p>
            <w:r>
              <w:t>Safe config contract</w:t>
            </w:r>
          </w:p>
        </w:tc>
        <w:tc>
          <w:tcPr>
            <w:tcW w:type="dxa" w:w="2592"/>
          </w:tcPr>
          <w:p>
            <w:r>
              <w:t>Secret scan</w:t>
            </w:r>
          </w:p>
        </w:tc>
      </w:tr>
      <w:tr>
        <w:tc>
          <w:tcPr>
            <w:tcW w:type="dxa" w:w="2592"/>
          </w:tcPr>
          <w:p>
            <w:r>
              <w:t>M1-WP09</w:t>
            </w:r>
          </w:p>
        </w:tc>
        <w:tc>
          <w:tcPr>
            <w:tcW w:type="dxa" w:w="2592"/>
          </w:tcPr>
          <w:p>
            <w:r>
              <w:t>CI quality</w:t>
            </w:r>
          </w:p>
        </w:tc>
        <w:tc>
          <w:tcPr>
            <w:tcW w:type="dxa" w:w="2592"/>
          </w:tcPr>
          <w:p>
            <w:r>
              <w:t>Mandatory M1 checks</w:t>
            </w:r>
          </w:p>
        </w:tc>
        <w:tc>
          <w:tcPr>
            <w:tcW w:type="dxa" w:w="2592"/>
          </w:tcPr>
          <w:p>
            <w:r>
              <w:t>Pipeline gate</w:t>
            </w:r>
          </w:p>
        </w:tc>
      </w:tr>
    </w:tbl>
    <w:p>
      <w:pPr>
        <w:pStyle w:val="Heading1"/>
      </w:pPr>
      <w:r>
        <w:t>7. Tenant Context Requirements</w:t>
      </w:r>
    </w:p>
    <w:p>
      <w:pPr>
        <w:pStyle w:val="ListBullet"/>
      </w:pPr>
      <w:r>
        <w:t>Tenant identity must come from authenticated/trusted context.</w:t>
      </w:r>
    </w:p>
    <w:p>
      <w:pPr>
        <w:pStyle w:val="ListBullet"/>
      </w:pPr>
      <w:r>
        <w:t>Controllers cannot choose tenant context from arbitrary request payload fields.</w:t>
      </w:r>
    </w:p>
    <w:p>
      <w:pPr>
        <w:pStyle w:val="ListBullet"/>
      </w:pPr>
      <w:r>
        <w:t>Every tenant-owned query must be scoped.</w:t>
      </w:r>
    </w:p>
    <w:p>
      <w:pPr>
        <w:pStyle w:val="ListBullet"/>
      </w:pPr>
      <w:r>
        <w:t>Cross-tenant resource access must fail safely.</w:t>
      </w:r>
    </w:p>
    <w:p>
      <w:pPr>
        <w:pStyle w:val="ListBullet"/>
      </w:pPr>
      <w:r>
        <w:t>Service-to-service calls must carry trusted tenant context where applicable.</w:t>
      </w:r>
    </w:p>
    <w:p>
      <w:pPr>
        <w:pStyle w:val="ListBullet"/>
      </w:pPr>
      <w:r>
        <w:t>Tenant context must be available to audit and logging correlation without exposing unnecessary data.</w:t>
      </w:r>
    </w:p>
    <w:p>
      <w:pPr>
        <w:pStyle w:val="Heading1"/>
      </w:pPr>
      <w:r>
        <w:t>8. Authentication Requirements</w:t>
      </w:r>
    </w:p>
    <w:p>
      <w:pPr>
        <w:pStyle w:val="ListBullet"/>
      </w:pPr>
      <w:r>
        <w:t>Use the identity mechanism selected by the approved architecture/ADR.</w:t>
      </w:r>
    </w:p>
    <w:p>
      <w:pPr>
        <w:pStyle w:val="ListBullet"/>
      </w:pPr>
      <w:r>
        <w:t>Validate authentication before protected application logic.</w:t>
      </w:r>
    </w:p>
    <w:p>
      <w:pPr>
        <w:pStyle w:val="ListBullet"/>
      </w:pPr>
      <w:r>
        <w:t>Create a normalized principal representation for application services.</w:t>
      </w:r>
    </w:p>
    <w:p>
      <w:pPr>
        <w:pStyle w:val="ListBullet"/>
      </w:pPr>
      <w:r>
        <w:t>Do not persist raw credentials or tokens.</w:t>
      </w:r>
    </w:p>
    <w:p>
      <w:pPr>
        <w:pStyle w:val="ListBullet"/>
      </w:pPr>
      <w:r>
        <w:t>Authentication failures must be safe and non-enumerating.</w:t>
      </w:r>
    </w:p>
    <w:p>
      <w:pPr>
        <w:pStyle w:val="ListBullet"/>
      </w:pPr>
      <w:r>
        <w:t>Token/session validation failures must not bypass tenant or authorization checks.</w:t>
      </w:r>
    </w:p>
    <w:p>
      <w:pPr>
        <w:pStyle w:val="Heading1"/>
      </w:pPr>
      <w:r>
        <w:t>9. Authorization Requirements</w:t>
      </w:r>
    </w:p>
    <w:p>
      <w:pPr>
        <w:pStyle w:val="ListBullet"/>
      </w:pPr>
      <w:r>
        <w:t>Default deny.</w:t>
      </w:r>
    </w:p>
    <w:p>
      <w:pPr>
        <w:pStyle w:val="ListBullet"/>
      </w:pPr>
      <w:r>
        <w:t>Permissions are explicit and centrally discoverable.</w:t>
      </w:r>
    </w:p>
    <w:p>
      <w:pPr>
        <w:pStyle w:val="ListBullet"/>
      </w:pPr>
      <w:r>
        <w:t>Resource-level authorization is separate from role assignment.</w:t>
      </w:r>
    </w:p>
    <w:p>
      <w:pPr>
        <w:pStyle w:val="ListBullet"/>
      </w:pPr>
      <w:r>
        <w:t>Authorization is enforced server-side.</w:t>
      </w:r>
    </w:p>
    <w:p>
      <w:pPr>
        <w:pStyle w:val="ListBullet"/>
      </w:pPr>
      <w:r>
        <w:t>Do not trust UI visibility as a security control.</w:t>
      </w:r>
    </w:p>
    <w:p>
      <w:pPr>
        <w:pStyle w:val="ListBullet"/>
      </w:pPr>
      <w:r>
        <w:t>Patient and appointment resources must be protected against BOLA/IDOR.</w:t>
      </w:r>
    </w:p>
    <w:p>
      <w:pPr>
        <w:pStyle w:val="Heading1"/>
      </w:pPr>
      <w:r>
        <w:t>10. Audit Foundation</w:t>
      </w:r>
    </w:p>
    <w:p>
      <w:pPr>
        <w:pStyle w:val="ListBullet"/>
      </w:pPr>
      <w:r>
        <w:t>Provide a reusable audit-writing mechanism.</w:t>
      </w:r>
    </w:p>
    <w:p>
      <w:pPr>
        <w:pStyle w:val="ListBullet"/>
      </w:pPr>
      <w:r>
        <w:t>Capture actor/service identity, tenant, action, target, timestamp and correlation ID.</w:t>
      </w:r>
    </w:p>
    <w:p>
      <w:pPr>
        <w:pStyle w:val="ListBullet"/>
      </w:pPr>
      <w:r>
        <w:t>Do not log full sensitive payloads.</w:t>
      </w:r>
    </w:p>
    <w:p>
      <w:pPr>
        <w:pStyle w:val="ListBullet"/>
      </w:pPr>
      <w:r>
        <w:t>Audit writes for domain mutations must participate in the relevant transaction.</w:t>
      </w:r>
    </w:p>
    <w:p>
      <w:pPr>
        <w:pStyle w:val="ListBullet"/>
      </w:pPr>
      <w:r>
        <w:t>Audit reads require authorization.</w:t>
      </w:r>
    </w:p>
    <w:p>
      <w:pPr>
        <w:pStyle w:val="Heading1"/>
      </w:pPr>
      <w:r>
        <w:t>11. API Foundation</w:t>
      </w:r>
    </w:p>
    <w:p>
      <w:pPr>
        <w:pStyle w:val="ListBullet"/>
      </w:pPr>
      <w:r>
        <w:t>Standardize API versioning under /api/v1.</w:t>
      </w:r>
    </w:p>
    <w:p>
      <w:pPr>
        <w:pStyle w:val="ListBullet"/>
      </w:pPr>
      <w:r>
        <w:t>Standardize correlation IDs.</w:t>
      </w:r>
    </w:p>
    <w:p>
      <w:pPr>
        <w:pStyle w:val="ListBullet"/>
      </w:pPr>
      <w:r>
        <w:t>Use machine-readable error codes.</w:t>
      </w:r>
    </w:p>
    <w:p>
      <w:pPr>
        <w:pStyle w:val="ListBullet"/>
      </w:pPr>
      <w:r>
        <w:t>Do not expose stack traces or SQL details.</w:t>
      </w:r>
    </w:p>
    <w:p>
      <w:pPr>
        <w:pStyle w:val="ListBullet"/>
      </w:pPr>
      <w:r>
        <w:t>Use consistent validation responses.</w:t>
      </w:r>
    </w:p>
    <w:p>
      <w:pPr>
        <w:pStyle w:val="ListBullet"/>
      </w:pPr>
      <w:r>
        <w:t>Keep controller/endpoints thin.</w:t>
      </w:r>
    </w:p>
    <w:p>
      <w:pPr>
        <w:pStyle w:val="Heading1"/>
      </w:pPr>
      <w:r>
        <w:t>12. Persistence Foundation</w:t>
      </w:r>
    </w:p>
    <w:p>
      <w:pPr>
        <w:pStyle w:val="ListBullet"/>
      </w:pPr>
      <w:r>
        <w:t>Establish database connection/configuration conventions.</w:t>
      </w:r>
    </w:p>
    <w:p>
      <w:pPr>
        <w:pStyle w:val="ListBullet"/>
      </w:pPr>
      <w:r>
        <w:t>Establish migration ownership and execution rules.</w:t>
      </w:r>
    </w:p>
    <w:p>
      <w:pPr>
        <w:pStyle w:val="ListBullet"/>
      </w:pPr>
      <w:r>
        <w:t>Establish transaction abstraction/conventions.</w:t>
      </w:r>
    </w:p>
    <w:p>
      <w:pPr>
        <w:pStyle w:val="ListBullet"/>
      </w:pPr>
      <w:r>
        <w:t>Establish UTC persistence conventions for timestamps.</w:t>
      </w:r>
    </w:p>
    <w:p>
      <w:pPr>
        <w:pStyle w:val="ListBullet"/>
      </w:pPr>
      <w:r>
        <w:t>Establish optimistic versioning convention for mutable aggregate resources.</w:t>
      </w:r>
    </w:p>
    <w:p>
      <w:pPr>
        <w:pStyle w:val="ListBullet"/>
      </w:pPr>
      <w:r>
        <w:t>Do not create domain tables outside approved DDD specifications.</w:t>
      </w:r>
    </w:p>
    <w:p>
      <w:pPr>
        <w:pStyle w:val="Heading1"/>
      </w:pPr>
      <w:r>
        <w:t>13. Security Tests</w:t>
      </w:r>
    </w:p>
    <w:p>
      <w:pPr>
        <w:pStyle w:val="ListBullet"/>
      </w:pPr>
      <w:r>
        <w:t>Unauthenticated request denied.</w:t>
      </w:r>
    </w:p>
    <w:p>
      <w:pPr>
        <w:pStyle w:val="ListBullet"/>
      </w:pPr>
      <w:r>
        <w:t>Authenticated user with missing permission denied.</w:t>
      </w:r>
    </w:p>
    <w:p>
      <w:pPr>
        <w:pStyle w:val="ListBullet"/>
      </w:pPr>
      <w:r>
        <w:t>Tenant A cannot access Tenant B resource.</w:t>
      </w:r>
    </w:p>
    <w:p>
      <w:pPr>
        <w:pStyle w:val="ListBullet"/>
      </w:pPr>
      <w:r>
        <w:t>Client-supplied organization ID cannot override trusted tenant.</w:t>
      </w:r>
    </w:p>
    <w:p>
      <w:pPr>
        <w:pStyle w:val="ListBullet"/>
      </w:pPr>
      <w:r>
        <w:t>Object-level access check cannot be bypassed.</w:t>
      </w:r>
    </w:p>
    <w:p>
      <w:pPr>
        <w:pStyle w:val="ListBullet"/>
      </w:pPr>
      <w:r>
        <w:t>Audit does not leak sensitive data.</w:t>
      </w:r>
    </w:p>
    <w:p>
      <w:pPr>
        <w:pStyle w:val="ListBullet"/>
      </w:pPr>
      <w:r>
        <w:t>Secrets do not appear in source/logs/responses.</w:t>
      </w:r>
    </w:p>
    <w:p>
      <w:pPr>
        <w:pStyle w:val="Heading1"/>
      </w:pPr>
      <w:r>
        <w:t>14. M1 Test Matrix</w:t>
      </w:r>
    </w:p>
    <w:tbl>
      <w:tblPr>
        <w:tblStyle w:val="TableGrid"/>
        <w:tblW w:type="auto" w:w="0"/>
        <w:tblLook w:firstColumn="1" w:firstRow="1" w:lastColumn="0" w:lastRow="0" w:noHBand="0" w:noVBand="1" w:val="04A0"/>
      </w:tblPr>
      <w:tblGrid>
        <w:gridCol w:w="3456"/>
        <w:gridCol w:w="3456"/>
        <w:gridCol w:w="3456"/>
      </w:tblGrid>
      <w:tr>
        <w:tc>
          <w:tcPr>
            <w:tcW w:type="dxa" w:w="3456"/>
          </w:tcPr>
          <w:p>
            <w:r>
              <w:t>Test ID</w:t>
            </w:r>
          </w:p>
        </w:tc>
        <w:tc>
          <w:tcPr>
            <w:tcW w:type="dxa" w:w="3456"/>
          </w:tcPr>
          <w:p>
            <w:r>
              <w:t>Scenario</w:t>
            </w:r>
          </w:p>
        </w:tc>
        <w:tc>
          <w:tcPr>
            <w:tcW w:type="dxa" w:w="3456"/>
          </w:tcPr>
          <w:p>
            <w:r>
              <w:t>Expected</w:t>
            </w:r>
          </w:p>
        </w:tc>
      </w:tr>
      <w:tr>
        <w:tc>
          <w:tcPr>
            <w:tcW w:type="dxa" w:w="3456"/>
          </w:tcPr>
          <w:p>
            <w:r>
              <w:t>M1-SEC-001</w:t>
            </w:r>
          </w:p>
        </w:tc>
        <w:tc>
          <w:tcPr>
            <w:tcW w:type="dxa" w:w="3456"/>
          </w:tcPr>
          <w:p>
            <w:r>
              <w:t>No credentials → protected endpoint</w:t>
            </w:r>
          </w:p>
        </w:tc>
        <w:tc>
          <w:tcPr>
            <w:tcW w:type="dxa" w:w="3456"/>
          </w:tcPr>
          <w:p>
            <w:r>
              <w:t>401/approved equivalent</w:t>
            </w:r>
          </w:p>
        </w:tc>
      </w:tr>
      <w:tr>
        <w:tc>
          <w:tcPr>
            <w:tcW w:type="dxa" w:w="3456"/>
          </w:tcPr>
          <w:p>
            <w:r>
              <w:t>M1-SEC-002</w:t>
            </w:r>
          </w:p>
        </w:tc>
        <w:tc>
          <w:tcPr>
            <w:tcW w:type="dxa" w:w="3456"/>
          </w:tcPr>
          <w:p>
            <w:r>
              <w:t>Authenticated but unauthorized</w:t>
            </w:r>
          </w:p>
        </w:tc>
        <w:tc>
          <w:tcPr>
            <w:tcW w:type="dxa" w:w="3456"/>
          </w:tcPr>
          <w:p>
            <w:r>
              <w:t>403/approved safe response</w:t>
            </w:r>
          </w:p>
        </w:tc>
      </w:tr>
      <w:tr>
        <w:tc>
          <w:tcPr>
            <w:tcW w:type="dxa" w:w="3456"/>
          </w:tcPr>
          <w:p>
            <w:r>
              <w:t>M1-TEN-001</w:t>
            </w:r>
          </w:p>
        </w:tc>
        <w:tc>
          <w:tcPr>
            <w:tcW w:type="dxa" w:w="3456"/>
          </w:tcPr>
          <w:p>
            <w:r>
              <w:t>Tenant A reads Tenant B resource</w:t>
            </w:r>
          </w:p>
        </w:tc>
        <w:tc>
          <w:tcPr>
            <w:tcW w:type="dxa" w:w="3456"/>
          </w:tcPr>
          <w:p>
            <w:r>
              <w:t>Denied</w:t>
            </w:r>
          </w:p>
        </w:tc>
      </w:tr>
      <w:tr>
        <w:tc>
          <w:tcPr>
            <w:tcW w:type="dxa" w:w="3456"/>
          </w:tcPr>
          <w:p>
            <w:r>
              <w:t>M1-TEN-002</w:t>
            </w:r>
          </w:p>
        </w:tc>
        <w:tc>
          <w:tcPr>
            <w:tcW w:type="dxa" w:w="3456"/>
          </w:tcPr>
          <w:p>
            <w:r>
              <w:t>Client supplies foreign tenant ID</w:t>
            </w:r>
          </w:p>
        </w:tc>
        <w:tc>
          <w:tcPr>
            <w:tcW w:type="dxa" w:w="3456"/>
          </w:tcPr>
          <w:p>
            <w:r>
              <w:t>Ignored/denied</w:t>
            </w:r>
          </w:p>
        </w:tc>
      </w:tr>
      <w:tr>
        <w:tc>
          <w:tcPr>
            <w:tcW w:type="dxa" w:w="3456"/>
          </w:tcPr>
          <w:p>
            <w:r>
              <w:t>M1-AUD-001</w:t>
            </w:r>
          </w:p>
        </w:tc>
        <w:tc>
          <w:tcPr>
            <w:tcW w:type="dxa" w:w="3456"/>
          </w:tcPr>
          <w:p>
            <w:r>
              <w:t>Material foundation mutation</w:t>
            </w:r>
          </w:p>
        </w:tc>
        <w:tc>
          <w:tcPr>
            <w:tcW w:type="dxa" w:w="3456"/>
          </w:tcPr>
          <w:p>
            <w:r>
              <w:t>Audit evidence created</w:t>
            </w:r>
          </w:p>
        </w:tc>
      </w:tr>
      <w:tr>
        <w:tc>
          <w:tcPr>
            <w:tcW w:type="dxa" w:w="3456"/>
          </w:tcPr>
          <w:p>
            <w:r>
              <w:t>M1-API-001</w:t>
            </w:r>
          </w:p>
        </w:tc>
        <w:tc>
          <w:tcPr>
            <w:tcW w:type="dxa" w:w="3456"/>
          </w:tcPr>
          <w:p>
            <w:r>
              <w:t>Unhandled exception</w:t>
            </w:r>
          </w:p>
        </w:tc>
        <w:tc>
          <w:tcPr>
            <w:tcW w:type="dxa" w:w="3456"/>
          </w:tcPr>
          <w:p>
            <w:r>
              <w:t>Safe standardized error</w:t>
            </w:r>
          </w:p>
        </w:tc>
      </w:tr>
      <w:tr>
        <w:tc>
          <w:tcPr>
            <w:tcW w:type="dxa" w:w="3456"/>
          </w:tcPr>
          <w:p>
            <w:r>
              <w:t>M1-API-002</w:t>
            </w:r>
          </w:p>
        </w:tc>
        <w:tc>
          <w:tcPr>
            <w:tcW w:type="dxa" w:w="3456"/>
          </w:tcPr>
          <w:p>
            <w:r>
              <w:t>Correlation ID supplied</w:t>
            </w:r>
          </w:p>
        </w:tc>
        <w:tc>
          <w:tcPr>
            <w:tcW w:type="dxa" w:w="3456"/>
          </w:tcPr>
          <w:p>
            <w:r>
              <w:t>Preserved/propagated</w:t>
            </w:r>
          </w:p>
        </w:tc>
      </w:tr>
      <w:tr>
        <w:tc>
          <w:tcPr>
            <w:tcW w:type="dxa" w:w="3456"/>
          </w:tcPr>
          <w:p>
            <w:r>
              <w:t>M1-DB-001</w:t>
            </w:r>
          </w:p>
        </w:tc>
        <w:tc>
          <w:tcPr>
            <w:tcW w:type="dxa" w:w="3456"/>
          </w:tcPr>
          <w:p>
            <w:r>
              <w:t>Transaction rollback</w:t>
            </w:r>
          </w:p>
        </w:tc>
        <w:tc>
          <w:tcPr>
            <w:tcW w:type="dxa" w:w="3456"/>
          </w:tcPr>
          <w:p>
            <w:r>
              <w:t>No partial transaction-owned writes</w:t>
            </w:r>
          </w:p>
        </w:tc>
      </w:tr>
      <w:tr>
        <w:tc>
          <w:tcPr>
            <w:tcW w:type="dxa" w:w="3456"/>
          </w:tcPr>
          <w:p>
            <w:r>
              <w:t>M1-SEC-003</w:t>
            </w:r>
          </w:p>
        </w:tc>
        <w:tc>
          <w:tcPr>
            <w:tcW w:type="dxa" w:w="3456"/>
          </w:tcPr>
          <w:p>
            <w:r>
              <w:t>Secret in source/config scan</w:t>
            </w:r>
          </w:p>
        </w:tc>
        <w:tc>
          <w:tcPr>
            <w:tcW w:type="dxa" w:w="3456"/>
          </w:tcPr>
          <w:p>
            <w:r>
              <w:t>Gate fails</w:t>
            </w:r>
          </w:p>
        </w:tc>
      </w:tr>
    </w:tbl>
    <w:p>
      <w:pPr>
        <w:pStyle w:val="Heading1"/>
      </w:pPr>
      <w:r>
        <w:t>15. M1 Execution Sequence</w:t>
      </w:r>
    </w:p>
    <w:p>
      <w:pPr>
        <w:pStyle w:val="ListNumber"/>
      </w:pPr>
      <w:r>
        <w:t>1. Inspect repository after M0.</w:t>
      </w:r>
    </w:p>
    <w:p>
      <w:pPr>
        <w:pStyle w:val="ListNumber"/>
      </w:pPr>
      <w:r>
        <w:t>2. Confirm architecture/runtime decisions.</w:t>
      </w:r>
    </w:p>
    <w:p>
      <w:pPr>
        <w:pStyle w:val="ListNumber"/>
      </w:pPr>
      <w:r>
        <w:t>3. Implement application/module skeleton only where required.</w:t>
      </w:r>
    </w:p>
    <w:p>
      <w:pPr>
        <w:pStyle w:val="ListNumber"/>
      </w:pPr>
      <w:r>
        <w:t>4. Implement tenant context.</w:t>
      </w:r>
    </w:p>
    <w:p>
      <w:pPr>
        <w:pStyle w:val="ListNumber"/>
      </w:pPr>
      <w:r>
        <w:t>5. Implement authentication integration.</w:t>
      </w:r>
    </w:p>
    <w:p>
      <w:pPr>
        <w:pStyle w:val="ListNumber"/>
      </w:pPr>
      <w:r>
        <w:t>6. Implement authorization primitives.</w:t>
      </w:r>
    </w:p>
    <w:p>
      <w:pPr>
        <w:pStyle w:val="ListNumber"/>
      </w:pPr>
      <w:r>
        <w:t>7. Implement API/error/correlation foundation.</w:t>
      </w:r>
    </w:p>
    <w:p>
      <w:pPr>
        <w:pStyle w:val="ListNumber"/>
      </w:pPr>
      <w:r>
        <w:t>8. Implement audit foundation.</w:t>
      </w:r>
    </w:p>
    <w:p>
      <w:pPr>
        <w:pStyle w:val="ListNumber"/>
      </w:pPr>
      <w:r>
        <w:t>9. Implement persistence/migration foundation.</w:t>
      </w:r>
    </w:p>
    <w:p>
      <w:pPr>
        <w:pStyle w:val="ListNumber"/>
      </w:pPr>
      <w:r>
        <w:t>10. Add automated tests.</w:t>
      </w:r>
    </w:p>
    <w:p>
      <w:pPr>
        <w:pStyle w:val="ListNumber"/>
      </w:pPr>
      <w:r>
        <w:t>11. Run security and integration gates.</w:t>
      </w:r>
    </w:p>
    <w:p>
      <w:pPr>
        <w:pStyle w:val="ListNumber"/>
      </w:pPr>
      <w:r>
        <w:t>12. Review diff and produce M1 evidence.</w:t>
      </w:r>
    </w:p>
    <w:p>
      <w:pPr>
        <w:pStyle w:val="Heading1"/>
      </w:pPr>
      <w:r>
        <w:t>16. Cursor M1 Prompt</w:t>
      </w:r>
    </w:p>
    <w:p>
      <w:r>
        <w:t>Execute M1 — Foundation &amp; Identity only. Treat TDA-GOV-SOT-001, TDA-GOV-CUR-001, TDA-GOV-CMP-001, TDA-IMP-001, TDA-SEC-001, TDA-QA-001 and TDA-IMP-M1-001 as the controlled sources of truth. First inspect the repository, Git status, current architecture, runtime, dependencies and existing authentication/authorization code. Do not implement Patient, Appointment or Notification features. Do not upgrade frameworks or dependencies unless an approved source document requires it. Implement the smallest coherent foundation for trusted tenant context, authentication integration, default-deny authorization, object-level authorization primitives, standard API errors/correlation, audit foundation, persistence/migration conventions and configuration/secret boundaries. Add deterministic unit/integration/security tests. Run the M1 test matrix and existing regression tests. Do not commit. If documentation conflicts, a required rule is undefined, a destructive migration is needed, or a security control must be weakened, STOP and report the issue. Finish with: status, files changed, tests added, commands/results, DB changes, API changes, security impact, assumptions, risks and one recommended next step.</w:t>
      </w:r>
    </w:p>
    <w:p>
      <w:pPr>
        <w:pStyle w:val="Heading1"/>
      </w:pPr>
      <w:r>
        <w:t>17. M1 Stop Conditions</w:t>
      </w:r>
    </w:p>
    <w:p>
      <w:pPr>
        <w:pStyle w:val="ListBullet"/>
      </w:pPr>
      <w:r>
        <w:t>Authentication mechanism is not defined by approved architecture/ADR.</w:t>
      </w:r>
    </w:p>
    <w:p>
      <w:pPr>
        <w:pStyle w:val="ListBullet"/>
      </w:pPr>
      <w:r>
        <w:t>Tenant model is inconsistent with existing database/application structure.</w:t>
      </w:r>
    </w:p>
    <w:p>
      <w:pPr>
        <w:pStyle w:val="ListBullet"/>
      </w:pPr>
      <w:r>
        <w:t>Authorization requires weakening TDA-SEC-001.</w:t>
      </w:r>
    </w:p>
    <w:p>
      <w:pPr>
        <w:pStyle w:val="ListBullet"/>
      </w:pPr>
      <w:r>
        <w:t>Existing code contains insecure cross-tenant access.</w:t>
      </w:r>
    </w:p>
    <w:p>
      <w:pPr>
        <w:pStyle w:val="ListBullet"/>
      </w:pPr>
      <w:r>
        <w:t>Migration would destroy or rewrite existing data without approved plan.</w:t>
      </w:r>
    </w:p>
    <w:p>
      <w:pPr>
        <w:pStyle w:val="ListBullet"/>
      </w:pPr>
      <w:r>
        <w:t>Mandatory tests fail.</w:t>
      </w:r>
    </w:p>
    <w:p>
      <w:pPr>
        <w:pStyle w:val="ListBullet"/>
      </w:pPr>
      <w:r>
        <w:t>Unrelated domain features become necessary.</w:t>
      </w:r>
    </w:p>
    <w:p>
      <w:pPr>
        <w:pStyle w:val="Heading1"/>
      </w:pPr>
      <w:r>
        <w:t>18. M1 Definition of Done</w:t>
      </w:r>
    </w:p>
    <w:p>
      <w:pPr>
        <w:pStyle w:val="ListBullet"/>
      </w:pPr>
      <w:r>
        <w:t>Trusted tenant context works.</w:t>
      </w:r>
    </w:p>
    <w:p>
      <w:pPr>
        <w:pStyle w:val="ListBullet"/>
      </w:pPr>
      <w:r>
        <w:t>Authentication integration works.</w:t>
      </w:r>
    </w:p>
    <w:p>
      <w:pPr>
        <w:pStyle w:val="ListBullet"/>
      </w:pPr>
      <w:r>
        <w:t>Default-deny authorization works.</w:t>
      </w:r>
    </w:p>
    <w:p>
      <w:pPr>
        <w:pStyle w:val="ListBullet"/>
      </w:pPr>
      <w:r>
        <w:t>Object-level authorization primitives are reusable.</w:t>
      </w:r>
    </w:p>
    <w:p>
      <w:pPr>
        <w:pStyle w:val="ListBullet"/>
      </w:pPr>
      <w:r>
        <w:t>API error/correlation conventions are established.</w:t>
      </w:r>
    </w:p>
    <w:p>
      <w:pPr>
        <w:pStyle w:val="ListBullet"/>
      </w:pPr>
      <w:r>
        <w:t>Audit foundation is operational.</w:t>
      </w:r>
    </w:p>
    <w:p>
      <w:pPr>
        <w:pStyle w:val="ListBullet"/>
      </w:pPr>
      <w:r>
        <w:t>Persistence/migration conventions are established.</w:t>
      </w:r>
    </w:p>
    <w:p>
      <w:pPr>
        <w:pStyle w:val="ListBullet"/>
      </w:pPr>
      <w:r>
        <w:t>Security and integration tests pass.</w:t>
      </w:r>
    </w:p>
    <w:p>
      <w:pPr>
        <w:pStyle w:val="ListBullet"/>
      </w:pPr>
      <w:r>
        <w:t>Existing regression tests pass.</w:t>
      </w:r>
    </w:p>
    <w:p>
      <w:pPr>
        <w:pStyle w:val="ListBullet"/>
      </w:pPr>
      <w:r>
        <w:t>M1 evidence report is complete.</w:t>
      </w:r>
    </w:p>
    <w:p>
      <w:pPr>
        <w:pStyle w:val="ListBullet"/>
      </w:pPr>
      <w:r>
        <w:t>RTM is updated.</w:t>
      </w:r>
    </w:p>
    <w:p>
      <w:pPr>
        <w:pStyle w:val="Heading1"/>
      </w:pPr>
      <w:r>
        <w:t>19. M1 Evidence Report Format</w:t>
      </w:r>
    </w:p>
    <w:tbl>
      <w:tblPr>
        <w:tblStyle w:val="TableGrid"/>
        <w:tblW w:type="auto" w:w="0"/>
        <w:tblLook w:firstColumn="1" w:firstRow="1" w:lastColumn="0" w:lastRow="0" w:noHBand="0" w:noVBand="1" w:val="04A0"/>
      </w:tblPr>
      <w:tblGrid>
        <w:gridCol w:w="5184"/>
        <w:gridCol w:w="5184"/>
      </w:tblGrid>
      <w:tr>
        <w:tc>
          <w:tcPr>
            <w:tcW w:type="dxa" w:w="5184"/>
          </w:tcPr>
          <w:p>
            <w:r>
              <w:t>Section</w:t>
            </w:r>
          </w:p>
        </w:tc>
        <w:tc>
          <w:tcPr>
            <w:tcW w:type="dxa" w:w="5184"/>
          </w:tcPr>
          <w:p>
            <w:r>
              <w:t>Required Output</w:t>
            </w:r>
          </w:p>
        </w:tc>
      </w:tr>
      <w:tr>
        <w:tc>
          <w:tcPr>
            <w:tcW w:type="dxa" w:w="5184"/>
          </w:tcPr>
          <w:p>
            <w:r>
              <w:t>Status</w:t>
            </w:r>
          </w:p>
        </w:tc>
        <w:tc>
          <w:tcPr>
            <w:tcW w:type="dxa" w:w="5184"/>
          </w:tcPr>
          <w:p>
            <w:r>
              <w:t>PASS / PARTIAL / BLOCKED</w:t>
            </w:r>
          </w:p>
        </w:tc>
      </w:tr>
      <w:tr>
        <w:tc>
          <w:tcPr>
            <w:tcW w:type="dxa" w:w="5184"/>
          </w:tcPr>
          <w:p>
            <w:r>
              <w:t>Files Changed</w:t>
            </w:r>
          </w:p>
        </w:tc>
        <w:tc>
          <w:tcPr>
            <w:tcW w:type="dxa" w:w="5184"/>
          </w:tcPr>
          <w:p>
            <w:r>
              <w:t>Exact paths</w:t>
            </w:r>
          </w:p>
        </w:tc>
      </w:tr>
      <w:tr>
        <w:tc>
          <w:tcPr>
            <w:tcW w:type="dxa" w:w="5184"/>
          </w:tcPr>
          <w:p>
            <w:r>
              <w:t>Auth</w:t>
            </w:r>
          </w:p>
        </w:tc>
        <w:tc>
          <w:tcPr>
            <w:tcW w:type="dxa" w:w="5184"/>
          </w:tcPr>
          <w:p>
            <w:r>
              <w:t>Mechanism + tests</w:t>
            </w:r>
          </w:p>
        </w:tc>
      </w:tr>
      <w:tr>
        <w:tc>
          <w:tcPr>
            <w:tcW w:type="dxa" w:w="5184"/>
          </w:tcPr>
          <w:p>
            <w:r>
              <w:t>Tenant</w:t>
            </w:r>
          </w:p>
        </w:tc>
        <w:tc>
          <w:tcPr>
            <w:tcW w:type="dxa" w:w="5184"/>
          </w:tcPr>
          <w:p>
            <w:r>
              <w:t>Context + isolation tests</w:t>
            </w:r>
          </w:p>
        </w:tc>
      </w:tr>
      <w:tr>
        <w:tc>
          <w:tcPr>
            <w:tcW w:type="dxa" w:w="5184"/>
          </w:tcPr>
          <w:p>
            <w:r>
              <w:t>Authorization</w:t>
            </w:r>
          </w:p>
        </w:tc>
        <w:tc>
          <w:tcPr>
            <w:tcW w:type="dxa" w:w="5184"/>
          </w:tcPr>
          <w:p>
            <w:r>
              <w:t>Permissions/object checks</w:t>
            </w:r>
          </w:p>
        </w:tc>
      </w:tr>
      <w:tr>
        <w:tc>
          <w:tcPr>
            <w:tcW w:type="dxa" w:w="5184"/>
          </w:tcPr>
          <w:p>
            <w:r>
              <w:t>API</w:t>
            </w:r>
          </w:p>
        </w:tc>
        <w:tc>
          <w:tcPr>
            <w:tcW w:type="dxa" w:w="5184"/>
          </w:tcPr>
          <w:p>
            <w:r>
              <w:t>Error/correlation changes</w:t>
            </w:r>
          </w:p>
        </w:tc>
      </w:tr>
      <w:tr>
        <w:tc>
          <w:tcPr>
            <w:tcW w:type="dxa" w:w="5184"/>
          </w:tcPr>
          <w:p>
            <w:r>
              <w:t>Audit</w:t>
            </w:r>
          </w:p>
        </w:tc>
        <w:tc>
          <w:tcPr>
            <w:tcW w:type="dxa" w:w="5184"/>
          </w:tcPr>
          <w:p>
            <w:r>
              <w:t>Schema/service/transaction evidence</w:t>
            </w:r>
          </w:p>
        </w:tc>
      </w:tr>
      <w:tr>
        <w:tc>
          <w:tcPr>
            <w:tcW w:type="dxa" w:w="5184"/>
          </w:tcPr>
          <w:p>
            <w:r>
              <w:t>Database</w:t>
            </w:r>
          </w:p>
        </w:tc>
        <w:tc>
          <w:tcPr>
            <w:tcW w:type="dxa" w:w="5184"/>
          </w:tcPr>
          <w:p>
            <w:r>
              <w:t>Migrations/schema changes</w:t>
            </w:r>
          </w:p>
        </w:tc>
      </w:tr>
      <w:tr>
        <w:tc>
          <w:tcPr>
            <w:tcW w:type="dxa" w:w="5184"/>
          </w:tcPr>
          <w:p>
            <w:r>
              <w:t>Tests</w:t>
            </w:r>
          </w:p>
        </w:tc>
        <w:tc>
          <w:tcPr>
            <w:tcW w:type="dxa" w:w="5184"/>
          </w:tcPr>
          <w:p>
            <w:r>
              <w:t>Commands + results</w:t>
            </w:r>
          </w:p>
        </w:tc>
      </w:tr>
      <w:tr>
        <w:tc>
          <w:tcPr>
            <w:tcW w:type="dxa" w:w="5184"/>
          </w:tcPr>
          <w:p>
            <w:r>
              <w:t>Security</w:t>
            </w:r>
          </w:p>
        </w:tc>
        <w:tc>
          <w:tcPr>
            <w:tcW w:type="dxa" w:w="5184"/>
          </w:tcPr>
          <w:p>
            <w:r>
              <w:t>Findings</w:t>
            </w:r>
          </w:p>
        </w:tc>
      </w:tr>
      <w:tr>
        <w:tc>
          <w:tcPr>
            <w:tcW w:type="dxa" w:w="5184"/>
          </w:tcPr>
          <w:p>
            <w:r>
              <w:t>Risks</w:t>
            </w:r>
          </w:p>
        </w:tc>
        <w:tc>
          <w:tcPr>
            <w:tcW w:type="dxa" w:w="5184"/>
          </w:tcPr>
          <w:p>
            <w:r>
              <w:t>Known issues</w:t>
            </w:r>
          </w:p>
        </w:tc>
      </w:tr>
      <w:tr>
        <w:tc>
          <w:tcPr>
            <w:tcW w:type="dxa" w:w="5184"/>
          </w:tcPr>
          <w:p>
            <w:r>
              <w:t>Next</w:t>
            </w:r>
          </w:p>
        </w:tc>
        <w:tc>
          <w:tcPr>
            <w:tcW w:type="dxa" w:w="5184"/>
          </w:tcPr>
          <w:p>
            <w:r>
              <w:t>M2 Patient</w:t>
            </w:r>
          </w:p>
        </w:tc>
      </w:tr>
    </w:tbl>
    <w:p>
      <w:pPr>
        <w:pStyle w:val="Heading1"/>
      </w:pPr>
      <w:r>
        <w:t>20. Governance Statement</w:t>
      </w:r>
    </w:p>
    <w:p>
      <w:r>
        <w:rPr>
          <w:b/>
        </w:rPr>
        <w:t>M1 establishes the security and application substrate on which every later domain depends. It must remain deliberately small. Patient, Appointment and Notification functionality begins only after M1 passes its mandatory gates.</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