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TDA-IMP-M6-001 — E2E &amp; Operations Implementation Plan</w:t>
      </w:r>
    </w:p>
    <w:p>
      <w:pPr>
        <w:jc w:val="center"/>
      </w:pPr>
      <w:r>
        <w:rPr>
          <w:b/>
          <w:i w:val="0"/>
          <w:sz w:val="22"/>
        </w:rPr>
        <w:t>Version 1.0 | Status: READY FOR EXECUTION | 14 August 2026</w:t>
      </w:r>
    </w:p>
    <w:p>
      <w:pPr>
        <w:jc w:val="center"/>
      </w:pPr>
      <w:r>
        <w:rPr>
          <w:b w:val="0"/>
          <w:i/>
          <w:sz w:val="19"/>
        </w:rPr>
        <w:t>Controlled end-to-end validation and operational readiness milestone across critical workflows, resilience, observability and recovery</w:t>
      </w:r>
    </w:p>
    <w:p>
      <w:pPr>
        <w:pStyle w:val="Heading1"/>
      </w:pPr>
      <w:r>
        <w:t>1. Purpose</w:t>
      </w:r>
    </w:p>
    <w:p>
      <w:r>
        <w:t>M6 validates the DentalCare AI system as an integrated product after M1–M5. It proves critical user journeys end-to-end, validates asynchronous notification behavior, verifies observability and recovery, and establishes operational controls required before the final production-readiness gate.</w:t>
      </w:r>
    </w:p>
    <w:p>
      <w:pPr>
        <w:pStyle w:val="Heading1"/>
      </w:pPr>
      <w:r>
        <w:t>2. Source-of-Truth Inputs</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Use</w:t>
            </w:r>
          </w:p>
        </w:tc>
      </w:tr>
      <w:tr>
        <w:tc>
          <w:tcPr>
            <w:tcW w:type="dxa" w:w="5184"/>
          </w:tcPr>
          <w:p>
            <w:r>
              <w:t>TDA-GOV-SOT-001</w:t>
            </w:r>
          </w:p>
        </w:tc>
        <w:tc>
          <w:tcPr>
            <w:tcW w:type="dxa" w:w="5184"/>
          </w:tcPr>
          <w:p>
            <w:r>
              <w:t>Authority hierarchy</w:t>
            </w:r>
          </w:p>
        </w:tc>
      </w:tr>
      <w:tr>
        <w:tc>
          <w:tcPr>
            <w:tcW w:type="dxa" w:w="5184"/>
          </w:tcPr>
          <w:p>
            <w:r>
              <w:t>TDA-GOV-CUR-001</w:t>
            </w:r>
          </w:p>
        </w:tc>
        <w:tc>
          <w:tcPr>
            <w:tcW w:type="dxa" w:w="5184"/>
          </w:tcPr>
          <w:p>
            <w:r>
              <w:t>Cursor execution rules</w:t>
            </w:r>
          </w:p>
        </w:tc>
      </w:tr>
      <w:tr>
        <w:tc>
          <w:tcPr>
            <w:tcW w:type="dxa" w:w="5184"/>
          </w:tcPr>
          <w:p>
            <w:r>
              <w:t>TDA-GOV-CMP-001</w:t>
            </w:r>
          </w:p>
        </w:tc>
        <w:tc>
          <w:tcPr>
            <w:tcW w:type="dxa" w:w="5184"/>
          </w:tcPr>
          <w:p>
            <w:r>
              <w:t>Change governance</w:t>
            </w:r>
          </w:p>
        </w:tc>
      </w:tr>
      <w:tr>
        <w:tc>
          <w:tcPr>
            <w:tcW w:type="dxa" w:w="5184"/>
          </w:tcPr>
          <w:p>
            <w:r>
              <w:t>TDA-IMP-001</w:t>
            </w:r>
          </w:p>
        </w:tc>
        <w:tc>
          <w:tcPr>
            <w:tcW w:type="dxa" w:w="5184"/>
          </w:tcPr>
          <w:p>
            <w:r>
              <w:t>Implementation lifecycle</w:t>
            </w:r>
          </w:p>
        </w:tc>
      </w:tr>
      <w:tr>
        <w:tc>
          <w:tcPr>
            <w:tcW w:type="dxa" w:w="5184"/>
          </w:tcPr>
          <w:p>
            <w:r>
              <w:t>TDA-IMP-M1-001</w:t>
            </w:r>
          </w:p>
        </w:tc>
        <w:tc>
          <w:tcPr>
            <w:tcW w:type="dxa" w:w="5184"/>
          </w:tcPr>
          <w:p>
            <w:r>
              <w:t>Foundation</w:t>
            </w:r>
          </w:p>
        </w:tc>
      </w:tr>
      <w:tr>
        <w:tc>
          <w:tcPr>
            <w:tcW w:type="dxa" w:w="5184"/>
          </w:tcPr>
          <w:p>
            <w:r>
              <w:t>TDA-IMP-M2-001</w:t>
            </w:r>
          </w:p>
        </w:tc>
        <w:tc>
          <w:tcPr>
            <w:tcW w:type="dxa" w:w="5184"/>
          </w:tcPr>
          <w:p>
            <w:r>
              <w:t>Patient</w:t>
            </w:r>
          </w:p>
        </w:tc>
      </w:tr>
      <w:tr>
        <w:tc>
          <w:tcPr>
            <w:tcW w:type="dxa" w:w="5184"/>
          </w:tcPr>
          <w:p>
            <w:r>
              <w:t>TDA-IMP-M3-001</w:t>
            </w:r>
          </w:p>
        </w:tc>
        <w:tc>
          <w:tcPr>
            <w:tcW w:type="dxa" w:w="5184"/>
          </w:tcPr>
          <w:p>
            <w:r>
              <w:t>Appointment</w:t>
            </w:r>
          </w:p>
        </w:tc>
      </w:tr>
      <w:tr>
        <w:tc>
          <w:tcPr>
            <w:tcW w:type="dxa" w:w="5184"/>
          </w:tcPr>
          <w:p>
            <w:r>
              <w:t>TDA-IMP-M4-001</w:t>
            </w:r>
          </w:p>
        </w:tc>
        <w:tc>
          <w:tcPr>
            <w:tcW w:type="dxa" w:w="5184"/>
          </w:tcPr>
          <w:p>
            <w:r>
              <w:t>Notification</w:t>
            </w:r>
          </w:p>
        </w:tc>
      </w:tr>
      <w:tr>
        <w:tc>
          <w:tcPr>
            <w:tcW w:type="dxa" w:w="5184"/>
          </w:tcPr>
          <w:p>
            <w:r>
              <w:t>TDA-IMP-M5-001</w:t>
            </w:r>
          </w:p>
        </w:tc>
        <w:tc>
          <w:tcPr>
            <w:tcW w:type="dxa" w:w="5184"/>
          </w:tcPr>
          <w:p>
            <w:r>
              <w:t>Security</w:t>
            </w:r>
          </w:p>
        </w:tc>
      </w:tr>
      <w:tr>
        <w:tc>
          <w:tcPr>
            <w:tcW w:type="dxa" w:w="5184"/>
          </w:tcPr>
          <w:p>
            <w:r>
              <w:t>TDA-QA-001</w:t>
            </w:r>
          </w:p>
        </w:tc>
        <w:tc>
          <w:tcPr>
            <w:tcW w:type="dxa" w:w="5184"/>
          </w:tcPr>
          <w:p>
            <w:r>
              <w:t>QA/test strategy</w:t>
            </w:r>
          </w:p>
        </w:tc>
      </w:tr>
    </w:tbl>
    <w:p>
      <w:pPr>
        <w:pStyle w:val="Heading1"/>
      </w:pPr>
      <w:r>
        <w:t>3. M6 Scope</w:t>
      </w:r>
    </w:p>
    <w:p>
      <w:pPr>
        <w:pStyle w:val="ListBullet"/>
      </w:pPr>
      <w:r>
        <w:t>Critical end-to-end patient journeys.</w:t>
      </w:r>
    </w:p>
    <w:p>
      <w:pPr>
        <w:pStyle w:val="ListBullet"/>
      </w:pPr>
      <w:r>
        <w:t>Appointment lifecycle end-to-end validation.</w:t>
      </w:r>
    </w:p>
    <w:p>
      <w:pPr>
        <w:pStyle w:val="ListBullet"/>
      </w:pPr>
      <w:r>
        <w:t>Transactional outbox → dispatcher → provider workflow.</w:t>
      </w:r>
    </w:p>
    <w:p>
      <w:pPr>
        <w:pStyle w:val="ListBullet"/>
      </w:pPr>
      <w:r>
        <w:t>Notification retry and failure recovery.</w:t>
      </w:r>
    </w:p>
    <w:p>
      <w:pPr>
        <w:pStyle w:val="ListBullet"/>
      </w:pPr>
      <w:r>
        <w:t>Cross-service correlation and traceability.</w:t>
      </w:r>
    </w:p>
    <w:p>
      <w:pPr>
        <w:pStyle w:val="ListBullet"/>
      </w:pPr>
      <w:r>
        <w:t>Application health/readiness checks.</w:t>
      </w:r>
    </w:p>
    <w:p>
      <w:pPr>
        <w:pStyle w:val="ListBullet"/>
      </w:pPr>
      <w:r>
        <w:t>Structured logging and metrics validation.</w:t>
      </w:r>
    </w:p>
    <w:p>
      <w:pPr>
        <w:pStyle w:val="ListBullet"/>
      </w:pPr>
      <w:r>
        <w:t>Operational dashboards/alerts where approved.</w:t>
      </w:r>
    </w:p>
    <w:p>
      <w:pPr>
        <w:pStyle w:val="ListBullet"/>
      </w:pPr>
      <w:r>
        <w:t>Database backup/restore rehearsal in non-production.</w:t>
      </w:r>
    </w:p>
    <w:p>
      <w:pPr>
        <w:pStyle w:val="ListBullet"/>
      </w:pPr>
      <w:r>
        <w:t>Worker crash/restart recovery.</w:t>
      </w:r>
    </w:p>
    <w:p>
      <w:pPr>
        <w:pStyle w:val="ListBullet"/>
      </w:pPr>
      <w:r>
        <w:t>Migration rehearsal.</w:t>
      </w:r>
    </w:p>
    <w:p>
      <w:pPr>
        <w:pStyle w:val="ListBullet"/>
      </w:pPr>
      <w:r>
        <w:t>Performance/load smoke tests.</w:t>
      </w:r>
    </w:p>
    <w:p>
      <w:pPr>
        <w:pStyle w:val="ListBullet"/>
      </w:pPr>
      <w:r>
        <w:t>Release smoke test suite and operational runbook validation.</w:t>
      </w:r>
    </w:p>
    <w:p>
      <w:pPr>
        <w:pStyle w:val="Heading1"/>
      </w:pPr>
      <w:r>
        <w:t>4. Explicit Non-Scope</w:t>
      </w:r>
    </w:p>
    <w:p>
      <w:pPr>
        <w:pStyle w:val="ListBullet"/>
      </w:pPr>
      <w:r>
        <w:t>Production go-live itself.</w:t>
      </w:r>
    </w:p>
    <w:p>
      <w:pPr>
        <w:pStyle w:val="ListBullet"/>
      </w:pPr>
      <w:r>
        <w:t>Unapproved infrastructure redesign.</w:t>
      </w:r>
    </w:p>
    <w:p>
      <w:pPr>
        <w:pStyle w:val="ListBullet"/>
      </w:pPr>
      <w:r>
        <w:t>New business features.</w:t>
      </w:r>
    </w:p>
    <w:p>
      <w:pPr>
        <w:pStyle w:val="ListBullet"/>
      </w:pPr>
      <w:r>
        <w:t>Changing domain rules to make E2E tests pass.</w:t>
      </w:r>
    </w:p>
    <w:p>
      <w:pPr>
        <w:pStyle w:val="ListBullet"/>
      </w:pPr>
      <w:r>
        <w:t>Real patient data in test environments.</w:t>
      </w:r>
    </w:p>
    <w:p>
      <w:pPr>
        <w:pStyle w:val="ListBullet"/>
      </w:pPr>
      <w:r>
        <w:t>Unapproved external penetration testing.</w:t>
      </w:r>
    </w:p>
    <w:p>
      <w:pPr>
        <w:pStyle w:val="ListBullet"/>
      </w:pPr>
      <w:r>
        <w:t>Permanent production credentials in test evidence.</w:t>
      </w:r>
    </w:p>
    <w:p>
      <w:pPr>
        <w:pStyle w:val="Heading1"/>
      </w:pPr>
      <w:r>
        <w:t>5. Integrated System Flow</w:t>
      </w:r>
    </w:p>
    <w:p>
      <w:r>
        <w:rPr>
          <w:b/>
        </w:rPr>
        <w:t>Patient → Appointment → DB Transaction → History + Audit + Outbox → Worker → Provider → Delivery Evidence</w:t>
      </w:r>
    </w:p>
    <w:p>
      <w:r>
        <w:t>Every stage must preserve tenant context, authorization, correlation and safe operational telemetry.</w:t>
      </w:r>
    </w:p>
    <w:p>
      <w:pPr>
        <w:pStyle w:val="Heading1"/>
      </w:pPr>
      <w:r>
        <w:t>6. Work Packages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Work Package</w:t>
            </w:r>
          </w:p>
        </w:tc>
        <w:tc>
          <w:tcPr>
            <w:tcW w:type="dxa" w:w="2592"/>
          </w:tcPr>
          <w:p>
            <w:r>
              <w:t>Output</w:t>
            </w:r>
          </w:p>
        </w:tc>
        <w:tc>
          <w:tcPr>
            <w:tcW w:type="dxa" w:w="2592"/>
          </w:tcPr>
          <w:p>
            <w:r>
              <w:t>Gate</w:t>
            </w:r>
          </w:p>
        </w:tc>
      </w:tr>
      <w:tr>
        <w:tc>
          <w:tcPr>
            <w:tcW w:type="dxa" w:w="2592"/>
          </w:tcPr>
          <w:p>
            <w:r>
              <w:t>M6-WP01</w:t>
            </w:r>
          </w:p>
        </w:tc>
        <w:tc>
          <w:tcPr>
            <w:tcW w:type="dxa" w:w="2592"/>
          </w:tcPr>
          <w:p>
            <w:r>
              <w:t>E2E critical paths</w:t>
            </w:r>
          </w:p>
        </w:tc>
        <w:tc>
          <w:tcPr>
            <w:tcW w:type="dxa" w:w="2592"/>
          </w:tcPr>
          <w:p>
            <w:r>
              <w:t>Automated scenarios</w:t>
            </w:r>
          </w:p>
        </w:tc>
        <w:tc>
          <w:tcPr>
            <w:tcW w:type="dxa" w:w="2592"/>
          </w:tcPr>
          <w:p>
            <w:r>
              <w:t>PASS</w:t>
            </w:r>
          </w:p>
        </w:tc>
      </w:tr>
      <w:tr>
        <w:tc>
          <w:tcPr>
            <w:tcW w:type="dxa" w:w="2592"/>
          </w:tcPr>
          <w:p>
            <w:r>
              <w:t>M6-WP02</w:t>
            </w:r>
          </w:p>
        </w:tc>
        <w:tc>
          <w:tcPr>
            <w:tcW w:type="dxa" w:w="2592"/>
          </w:tcPr>
          <w:p>
            <w:r>
              <w:t>Appointment lifecycle</w:t>
            </w:r>
          </w:p>
        </w:tc>
        <w:tc>
          <w:tcPr>
            <w:tcW w:type="dxa" w:w="2592"/>
          </w:tcPr>
          <w:p>
            <w:r>
              <w:t>Lifecycle evidence</w:t>
            </w:r>
          </w:p>
        </w:tc>
        <w:tc>
          <w:tcPr>
            <w:tcW w:type="dxa" w:w="2592"/>
          </w:tcPr>
          <w:p>
            <w:r>
              <w:t>PASS</w:t>
            </w:r>
          </w:p>
        </w:tc>
      </w:tr>
      <w:tr>
        <w:tc>
          <w:tcPr>
            <w:tcW w:type="dxa" w:w="2592"/>
          </w:tcPr>
          <w:p>
            <w:r>
              <w:t>M6-WP03</w:t>
            </w:r>
          </w:p>
        </w:tc>
        <w:tc>
          <w:tcPr>
            <w:tcW w:type="dxa" w:w="2592"/>
          </w:tcPr>
          <w:p>
            <w:r>
              <w:t>Notification flow</w:t>
            </w:r>
          </w:p>
        </w:tc>
        <w:tc>
          <w:tcPr>
            <w:tcW w:type="dxa" w:w="2592"/>
          </w:tcPr>
          <w:p>
            <w:r>
              <w:t>Outbox-to-provider evidence</w:t>
            </w:r>
          </w:p>
        </w:tc>
        <w:tc>
          <w:tcPr>
            <w:tcW w:type="dxa" w:w="2592"/>
          </w:tcPr>
          <w:p>
            <w:r>
              <w:t>PASS</w:t>
            </w:r>
          </w:p>
        </w:tc>
      </w:tr>
      <w:tr>
        <w:tc>
          <w:tcPr>
            <w:tcW w:type="dxa" w:w="2592"/>
          </w:tcPr>
          <w:p>
            <w:r>
              <w:t>M6-WP04</w:t>
            </w:r>
          </w:p>
        </w:tc>
        <w:tc>
          <w:tcPr>
            <w:tcW w:type="dxa" w:w="2592"/>
          </w:tcPr>
          <w:p>
            <w:r>
              <w:t>Failure recovery</w:t>
            </w:r>
          </w:p>
        </w:tc>
        <w:tc>
          <w:tcPr>
            <w:tcW w:type="dxa" w:w="2592"/>
          </w:tcPr>
          <w:p>
            <w:r>
              <w:t>Crash/outage recovery evidence</w:t>
            </w:r>
          </w:p>
        </w:tc>
        <w:tc>
          <w:tcPr>
            <w:tcW w:type="dxa" w:w="2592"/>
          </w:tcPr>
          <w:p>
            <w:r>
              <w:t>PASS</w:t>
            </w:r>
          </w:p>
        </w:tc>
      </w:tr>
      <w:tr>
        <w:tc>
          <w:tcPr>
            <w:tcW w:type="dxa" w:w="2592"/>
          </w:tcPr>
          <w:p>
            <w:r>
              <w:t>M6-WP05</w:t>
            </w:r>
          </w:p>
        </w:tc>
        <w:tc>
          <w:tcPr>
            <w:tcW w:type="dxa" w:w="2592"/>
          </w:tcPr>
          <w:p>
            <w:r>
              <w:t>Observability</w:t>
            </w:r>
          </w:p>
        </w:tc>
        <w:tc>
          <w:tcPr>
            <w:tcW w:type="dxa" w:w="2592"/>
          </w:tcPr>
          <w:p>
            <w:r>
              <w:t>Logs/metrics/traces</w:t>
            </w:r>
          </w:p>
        </w:tc>
        <w:tc>
          <w:tcPr>
            <w:tcW w:type="dxa" w:w="2592"/>
          </w:tcPr>
          <w:p>
            <w:r>
              <w:t>PASS</w:t>
            </w:r>
          </w:p>
        </w:tc>
      </w:tr>
      <w:tr>
        <w:tc>
          <w:tcPr>
            <w:tcW w:type="dxa" w:w="2592"/>
          </w:tcPr>
          <w:p>
            <w:r>
              <w:t>M6-WP06</w:t>
            </w:r>
          </w:p>
        </w:tc>
        <w:tc>
          <w:tcPr>
            <w:tcW w:type="dxa" w:w="2592"/>
          </w:tcPr>
          <w:p>
            <w:r>
              <w:t>Health checks</w:t>
            </w:r>
          </w:p>
        </w:tc>
        <w:tc>
          <w:tcPr>
            <w:tcW w:type="dxa" w:w="2592"/>
          </w:tcPr>
          <w:p>
            <w:r>
              <w:t>Liveness/readiness</w:t>
            </w:r>
          </w:p>
        </w:tc>
        <w:tc>
          <w:tcPr>
            <w:tcW w:type="dxa" w:w="2592"/>
          </w:tcPr>
          <w:p>
            <w:r>
              <w:t>PASS</w:t>
            </w:r>
          </w:p>
        </w:tc>
      </w:tr>
      <w:tr>
        <w:tc>
          <w:tcPr>
            <w:tcW w:type="dxa" w:w="2592"/>
          </w:tcPr>
          <w:p>
            <w:r>
              <w:t>M6-WP07</w:t>
            </w:r>
          </w:p>
        </w:tc>
        <w:tc>
          <w:tcPr>
            <w:tcW w:type="dxa" w:w="2592"/>
          </w:tcPr>
          <w:p>
            <w:r>
              <w:t>Backup/restore</w:t>
            </w:r>
          </w:p>
        </w:tc>
        <w:tc>
          <w:tcPr>
            <w:tcW w:type="dxa" w:w="2592"/>
          </w:tcPr>
          <w:p>
            <w:r>
              <w:t>Recovery rehearsal</w:t>
            </w:r>
          </w:p>
        </w:tc>
        <w:tc>
          <w:tcPr>
            <w:tcW w:type="dxa" w:w="2592"/>
          </w:tcPr>
          <w:p>
            <w:r>
              <w:t>PASS</w:t>
            </w:r>
          </w:p>
        </w:tc>
      </w:tr>
      <w:tr>
        <w:tc>
          <w:tcPr>
            <w:tcW w:type="dxa" w:w="2592"/>
          </w:tcPr>
          <w:p>
            <w:r>
              <w:t>M6-WP08</w:t>
            </w:r>
          </w:p>
        </w:tc>
        <w:tc>
          <w:tcPr>
            <w:tcW w:type="dxa" w:w="2592"/>
          </w:tcPr>
          <w:p>
            <w:r>
              <w:t>Migration rehearsal</w:t>
            </w:r>
          </w:p>
        </w:tc>
        <w:tc>
          <w:tcPr>
            <w:tcW w:type="dxa" w:w="2592"/>
          </w:tcPr>
          <w:p>
            <w:r>
              <w:t>Forward/rollback evidence where supported</w:t>
            </w:r>
          </w:p>
        </w:tc>
        <w:tc>
          <w:tcPr>
            <w:tcW w:type="dxa" w:w="2592"/>
          </w:tcPr>
          <w:p>
            <w:r>
              <w:t>PASS</w:t>
            </w:r>
          </w:p>
        </w:tc>
      </w:tr>
      <w:tr>
        <w:tc>
          <w:tcPr>
            <w:tcW w:type="dxa" w:w="2592"/>
          </w:tcPr>
          <w:p>
            <w:r>
              <w:t>M6-WP09</w:t>
            </w:r>
          </w:p>
        </w:tc>
        <w:tc>
          <w:tcPr>
            <w:tcW w:type="dxa" w:w="2592"/>
          </w:tcPr>
          <w:p>
            <w:r>
              <w:t>Performance</w:t>
            </w:r>
          </w:p>
        </w:tc>
        <w:tc>
          <w:tcPr>
            <w:tcW w:type="dxa" w:w="2592"/>
          </w:tcPr>
          <w:p>
            <w:r>
              <w:t>Load/smoke results</w:t>
            </w:r>
          </w:p>
        </w:tc>
        <w:tc>
          <w:tcPr>
            <w:tcW w:type="dxa" w:w="2592"/>
          </w:tcPr>
          <w:p>
            <w:r>
              <w:t>PASS</w:t>
            </w:r>
          </w:p>
        </w:tc>
      </w:tr>
      <w:tr>
        <w:tc>
          <w:tcPr>
            <w:tcW w:type="dxa" w:w="2592"/>
          </w:tcPr>
          <w:p>
            <w:r>
              <w:t>M6-WP10</w:t>
            </w:r>
          </w:p>
        </w:tc>
        <w:tc>
          <w:tcPr>
            <w:tcW w:type="dxa" w:w="2592"/>
          </w:tcPr>
          <w:p>
            <w:r>
              <w:t>Operational runbooks</w:t>
            </w:r>
          </w:p>
        </w:tc>
        <w:tc>
          <w:tcPr>
            <w:tcW w:type="dxa" w:w="2592"/>
          </w:tcPr>
          <w:p>
            <w:r>
              <w:t>Incident/recovery procedures</w:t>
            </w:r>
          </w:p>
        </w:tc>
        <w:tc>
          <w:tcPr>
            <w:tcW w:type="dxa" w:w="2592"/>
          </w:tcPr>
          <w:p>
            <w:r>
              <w:t>PASS</w:t>
            </w:r>
          </w:p>
        </w:tc>
      </w:tr>
      <w:tr>
        <w:tc>
          <w:tcPr>
            <w:tcW w:type="dxa" w:w="2592"/>
          </w:tcPr>
          <w:p>
            <w:r>
              <w:t>M6-WP11</w:t>
            </w:r>
          </w:p>
        </w:tc>
        <w:tc>
          <w:tcPr>
            <w:tcW w:type="dxa" w:w="2592"/>
          </w:tcPr>
          <w:p>
            <w:r>
              <w:t>Release smoke suite</w:t>
            </w:r>
          </w:p>
        </w:tc>
        <w:tc>
          <w:tcPr>
            <w:tcW w:type="dxa" w:w="2592"/>
          </w:tcPr>
          <w:p>
            <w:r>
              <w:t>Repeatable gate</w:t>
            </w:r>
          </w:p>
        </w:tc>
        <w:tc>
          <w:tcPr>
            <w:tcW w:type="dxa" w:w="2592"/>
          </w:tcPr>
          <w:p>
            <w:r>
              <w:t>PASS</w:t>
            </w:r>
          </w:p>
        </w:tc>
      </w:tr>
    </w:tbl>
    <w:p>
      <w:pPr>
        <w:pStyle w:val="Heading1"/>
      </w:pPr>
      <w:r>
        <w:t>7. E2E Environment Rules</w:t>
      </w:r>
    </w:p>
    <w:p>
      <w:pPr>
        <w:pStyle w:val="ListBullet"/>
      </w:pPr>
      <w:r>
        <w:t>Use isolated non-production environment.</w:t>
      </w:r>
    </w:p>
    <w:p>
      <w:pPr>
        <w:pStyle w:val="ListBullet"/>
      </w:pPr>
      <w:r>
        <w:t>Use synthetic test data only.</w:t>
      </w:r>
    </w:p>
    <w:p>
      <w:pPr>
        <w:pStyle w:val="ListBullet"/>
      </w:pPr>
      <w:r>
        <w:t>Never use real patient data.</w:t>
      </w:r>
    </w:p>
    <w:p>
      <w:pPr>
        <w:pStyle w:val="ListBullet"/>
      </w:pPr>
      <w:r>
        <w:t>Provider integrations use sandbox/test credentials where available.</w:t>
      </w:r>
    </w:p>
    <w:p>
      <w:pPr>
        <w:pStyle w:val="ListBullet"/>
      </w:pPr>
      <w:r>
        <w:t>Secrets are injected at runtime.</w:t>
      </w:r>
    </w:p>
    <w:p>
      <w:pPr>
        <w:pStyle w:val="ListBullet"/>
      </w:pPr>
      <w:r>
        <w:t>Test data is reset or uniquely namespaced.</w:t>
      </w:r>
    </w:p>
    <w:p>
      <w:pPr>
        <w:pStyle w:val="ListBullet"/>
      </w:pPr>
      <w:r>
        <w:t>All test runs produce traceable correlation IDs.</w:t>
      </w:r>
    </w:p>
    <w:p>
      <w:pPr>
        <w:pStyle w:val="Heading1"/>
      </w:pPr>
      <w:r>
        <w:t>8. Critical E2E Journey 1 — Patient Creation</w:t>
      </w:r>
    </w:p>
    <w:p>
      <w:pPr>
        <w:pStyle w:val="ListNumber"/>
      </w:pPr>
      <w:r>
        <w:t>Authenticate authorized actor.</w:t>
      </w:r>
    </w:p>
    <w:p>
      <w:pPr>
        <w:pStyle w:val="ListNumber"/>
      </w:pPr>
      <w:r>
        <w:t>Create patient.</w:t>
      </w:r>
    </w:p>
    <w:p>
      <w:pPr>
        <w:pStyle w:val="ListNumber"/>
      </w:pPr>
      <w:r>
        <w:t>Verify tenant ownership.</w:t>
      </w:r>
    </w:p>
    <w:p>
      <w:pPr>
        <w:pStyle w:val="ListNumber"/>
      </w:pPr>
      <w:r>
        <w:t>Verify API response.</w:t>
      </w:r>
    </w:p>
    <w:p>
      <w:pPr>
        <w:pStyle w:val="ListNumber"/>
      </w:pPr>
      <w:r>
        <w:t>Verify database state.</w:t>
      </w:r>
    </w:p>
    <w:p>
      <w:pPr>
        <w:pStyle w:val="ListNumber"/>
      </w:pPr>
      <w:r>
        <w:t>Verify audit/history evidence where required.</w:t>
      </w:r>
    </w:p>
    <w:p>
      <w:pPr>
        <w:pStyle w:val="ListNumber"/>
      </w:pPr>
      <w:r>
        <w:t>Attempt cross-tenant access and verify denial.</w:t>
      </w:r>
    </w:p>
    <w:p>
      <w:pPr>
        <w:pStyle w:val="Heading1"/>
      </w:pPr>
      <w:r>
        <w:t>9. Critical E2E Journey 2 — Appointment Creation</w:t>
      </w:r>
    </w:p>
    <w:p>
      <w:pPr>
        <w:pStyle w:val="ListNumber"/>
      </w:pPr>
      <w:r>
        <w:t>Use an authorized patient.</w:t>
      </w:r>
    </w:p>
    <w:p>
      <w:pPr>
        <w:pStyle w:val="ListNumber"/>
      </w:pPr>
      <w:r>
        <w:t>Create appointment.</w:t>
      </w:r>
    </w:p>
    <w:p>
      <w:pPr>
        <w:pStyle w:val="ListNumber"/>
      </w:pPr>
      <w:r>
        <w:t>Verify scheduling/conflict rules.</w:t>
      </w:r>
    </w:p>
    <w:p>
      <w:pPr>
        <w:pStyle w:val="ListNumber"/>
      </w:pPr>
      <w:r>
        <w:t>Verify appointment state.</w:t>
      </w:r>
    </w:p>
    <w:p>
      <w:pPr>
        <w:pStyle w:val="ListNumber"/>
      </w:pPr>
      <w:r>
        <w:t>Verify history.</w:t>
      </w:r>
    </w:p>
    <w:p>
      <w:pPr>
        <w:pStyle w:val="ListNumber"/>
      </w:pPr>
      <w:r>
        <w:t>Verify audit.</w:t>
      </w:r>
    </w:p>
    <w:p>
      <w:pPr>
        <w:pStyle w:val="ListNumber"/>
      </w:pPr>
      <w:r>
        <w:t>Verify notification_outbox record committed in the same transaction.</w:t>
      </w:r>
    </w:p>
    <w:p>
      <w:pPr>
        <w:pStyle w:val="ListNumber"/>
      </w:pPr>
      <w:r>
        <w:t>Verify no provider call occurred inside the transaction.</w:t>
      </w:r>
    </w:p>
    <w:p>
      <w:pPr>
        <w:pStyle w:val="Heading1"/>
      </w:pPr>
      <w:r>
        <w:t>10. Critical E2E Journey 3 — Confirmation &amp; Notification</w:t>
      </w:r>
    </w:p>
    <w:p>
      <w:pPr>
        <w:pStyle w:val="ListNumber"/>
      </w:pPr>
      <w:r>
        <w:t>Confirm appointment.</w:t>
      </w:r>
    </w:p>
    <w:p>
      <w:pPr>
        <w:pStyle w:val="ListNumber"/>
      </w:pPr>
      <w:r>
        <w:t>Verify appointment state transition.</w:t>
      </w:r>
    </w:p>
    <w:p>
      <w:pPr>
        <w:pStyle w:val="ListNumber"/>
      </w:pPr>
      <w:r>
        <w:t>Verify history/audit.</w:t>
      </w:r>
    </w:p>
    <w:p>
      <w:pPr>
        <w:pStyle w:val="ListNumber"/>
      </w:pPr>
      <w:r>
        <w:t>Verify notification outbox.</w:t>
      </w:r>
    </w:p>
    <w:p>
      <w:pPr>
        <w:pStyle w:val="ListNumber"/>
      </w:pPr>
      <w:r>
        <w:t>Run dispatcher.</w:t>
      </w:r>
    </w:p>
    <w:p>
      <w:pPr>
        <w:pStyle w:val="ListNumber"/>
      </w:pPr>
      <w:r>
        <w:t>Verify claim/lease.</w:t>
      </w:r>
    </w:p>
    <w:p>
      <w:pPr>
        <w:pStyle w:val="ListNumber"/>
      </w:pPr>
      <w:r>
        <w:t>Invoke provider sandbox.</w:t>
      </w:r>
    </w:p>
    <w:p>
      <w:pPr>
        <w:pStyle w:val="ListNumber"/>
      </w:pPr>
      <w:r>
        <w:t>Verify normalized delivery result.</w:t>
      </w:r>
    </w:p>
    <w:p>
      <w:pPr>
        <w:pStyle w:val="ListNumber"/>
      </w:pPr>
      <w:r>
        <w:t>Verify final notification status.</w:t>
      </w:r>
    </w:p>
    <w:p>
      <w:pPr>
        <w:pStyle w:val="ListNumber"/>
      </w:pPr>
      <w:r>
        <w:t>Verify appointment remains independent of provider outcome.</w:t>
      </w:r>
    </w:p>
    <w:p>
      <w:pPr>
        <w:pStyle w:val="Heading1"/>
      </w:pPr>
      <w:r>
        <w:t>11. Critical E2E Journey 4 — Reschedule</w:t>
      </w:r>
    </w:p>
    <w:p>
      <w:pPr>
        <w:pStyle w:val="ListNumber"/>
      </w:pPr>
      <w:r>
        <w:t>Submit valid reschedule.</w:t>
      </w:r>
    </w:p>
    <w:p>
      <w:pPr>
        <w:pStyle w:val="ListNumber"/>
      </w:pPr>
      <w:r>
        <w:t>Verify conflict detection.</w:t>
      </w:r>
    </w:p>
    <w:p>
      <w:pPr>
        <w:pStyle w:val="ListNumber"/>
      </w:pPr>
      <w:r>
        <w:t>Verify appointment timing/version.</w:t>
      </w:r>
    </w:p>
    <w:p>
      <w:pPr>
        <w:pStyle w:val="ListNumber"/>
      </w:pPr>
      <w:r>
        <w:t>Verify history/audit.</w:t>
      </w:r>
    </w:p>
    <w:p>
      <w:pPr>
        <w:pStyle w:val="ListNumber"/>
      </w:pPr>
      <w:r>
        <w:t>Verify notification intent.</w:t>
      </w:r>
    </w:p>
    <w:p>
      <w:pPr>
        <w:pStyle w:val="ListNumber"/>
      </w:pPr>
      <w:r>
        <w:t>Process notification asynchronously.</w:t>
      </w:r>
    </w:p>
    <w:p>
      <w:pPr>
        <w:pStyle w:val="ListNumber"/>
      </w:pPr>
      <w:r>
        <w:t>Verify delivery evidence.</w:t>
      </w:r>
    </w:p>
    <w:p>
      <w:pPr>
        <w:pStyle w:val="ListNumber"/>
      </w:pPr>
      <w:r>
        <w:t>Replay command and verify idempotency.</w:t>
      </w:r>
    </w:p>
    <w:p>
      <w:pPr>
        <w:pStyle w:val="Heading1"/>
      </w:pPr>
      <w:r>
        <w:t>12. Critical E2E Journey 5 — Cancellation</w:t>
      </w:r>
    </w:p>
    <w:p>
      <w:pPr>
        <w:pStyle w:val="ListNumber"/>
      </w:pPr>
      <w:r>
        <w:t>Cancel eligible appointment.</w:t>
      </w:r>
    </w:p>
    <w:p>
      <w:pPr>
        <w:pStyle w:val="ListNumber"/>
      </w:pPr>
      <w:r>
        <w:t>Verify state transition.</w:t>
      </w:r>
    </w:p>
    <w:p>
      <w:pPr>
        <w:pStyle w:val="ListNumber"/>
      </w:pPr>
      <w:r>
        <w:t>Verify history/audit/outbox atomicity.</w:t>
      </w:r>
    </w:p>
    <w:p>
      <w:pPr>
        <w:pStyle w:val="ListNumber"/>
      </w:pPr>
      <w:r>
        <w:t>Process cancellation notification.</w:t>
      </w:r>
    </w:p>
    <w:p>
      <w:pPr>
        <w:pStyle w:val="ListNumber"/>
      </w:pPr>
      <w:r>
        <w:t>Verify provider result.</w:t>
      </w:r>
    </w:p>
    <w:p>
      <w:pPr>
        <w:pStyle w:val="ListNumber"/>
      </w:pPr>
      <w:r>
        <w:t>Attempt invalid second cancellation and verify safe rejection/idempotency.</w:t>
      </w:r>
    </w:p>
    <w:p>
      <w:pPr>
        <w:pStyle w:val="Heading1"/>
      </w:pPr>
      <w:r>
        <w:t>13. Critical E2E Journey 6 — Failure Recovery</w:t>
      </w:r>
    </w:p>
    <w:p>
      <w:pPr>
        <w:pStyle w:val="ListNumber"/>
      </w:pPr>
      <w:r>
        <w:t>Create committed appointment.</w:t>
      </w:r>
    </w:p>
    <w:p>
      <w:pPr>
        <w:pStyle w:val="ListNumber"/>
      </w:pPr>
      <w:r>
        <w:t>Force provider failure.</w:t>
      </w:r>
    </w:p>
    <w:p>
      <w:pPr>
        <w:pStyle w:val="ListNumber"/>
      </w:pPr>
      <w:r>
        <w:t>Verify appointment remains committed.</w:t>
      </w:r>
    </w:p>
    <w:p>
      <w:pPr>
        <w:pStyle w:val="ListNumber"/>
      </w:pPr>
      <w:r>
        <w:t>Verify notification enters retry state.</w:t>
      </w:r>
    </w:p>
    <w:p>
      <w:pPr>
        <w:pStyle w:val="ListNumber"/>
      </w:pPr>
      <w:r>
        <w:t>Restart worker.</w:t>
      </w:r>
    </w:p>
    <w:p>
      <w:pPr>
        <w:pStyle w:val="ListNumber"/>
      </w:pPr>
      <w:r>
        <w:t>Verify lease recovery.</w:t>
      </w:r>
    </w:p>
    <w:p>
      <w:pPr>
        <w:pStyle w:val="ListNumber"/>
      </w:pPr>
      <w:r>
        <w:t>Retry notification.</w:t>
      </w:r>
    </w:p>
    <w:p>
      <w:pPr>
        <w:pStyle w:val="ListNumber"/>
      </w:pPr>
      <w:r>
        <w:t>Verify eventual success or controlled terminal failure.</w:t>
      </w:r>
    </w:p>
    <w:p>
      <w:pPr>
        <w:pStyle w:val="ListNumber"/>
      </w:pPr>
      <w:r>
        <w:t>Verify no duplicate business mutation.</w:t>
      </w:r>
    </w:p>
    <w:p>
      <w:pPr>
        <w:pStyle w:val="Heading1"/>
      </w:pPr>
      <w:r>
        <w:t>14. Observability Requirements</w:t>
      </w:r>
    </w:p>
    <w:tbl>
      <w:tblPr>
        <w:tblStyle w:val="TableGrid"/>
        <w:tblW w:type="auto" w:w="0"/>
        <w:tblLook w:firstColumn="1" w:firstRow="1" w:lastColumn="0" w:lastRow="0" w:noHBand="0" w:noVBand="1" w:val="04A0"/>
      </w:tblPr>
      <w:tblGrid>
        <w:gridCol w:w="5184"/>
        <w:gridCol w:w="5184"/>
      </w:tblGrid>
      <w:tr>
        <w:tc>
          <w:tcPr>
            <w:tcW w:type="dxa" w:w="5184"/>
          </w:tcPr>
          <w:p>
            <w:r>
              <w:t>Signal</w:t>
            </w:r>
          </w:p>
        </w:tc>
        <w:tc>
          <w:tcPr>
            <w:tcW w:type="dxa" w:w="5184"/>
          </w:tcPr>
          <w:p>
            <w:r>
              <w:t>Required Evidence</w:t>
            </w:r>
          </w:p>
        </w:tc>
      </w:tr>
      <w:tr>
        <w:tc>
          <w:tcPr>
            <w:tcW w:type="dxa" w:w="5184"/>
          </w:tcPr>
          <w:p>
            <w:r>
              <w:t>Correlation ID</w:t>
            </w:r>
          </w:p>
        </w:tc>
        <w:tc>
          <w:tcPr>
            <w:tcW w:type="dxa" w:w="5184"/>
          </w:tcPr>
          <w:p>
            <w:r>
              <w:t>Traceable across API → DB/audit → worker → provider result</w:t>
            </w:r>
          </w:p>
        </w:tc>
      </w:tr>
      <w:tr>
        <w:tc>
          <w:tcPr>
            <w:tcW w:type="dxa" w:w="5184"/>
          </w:tcPr>
          <w:p>
            <w:r>
              <w:t>Structured logs</w:t>
            </w:r>
          </w:p>
        </w:tc>
        <w:tc>
          <w:tcPr>
            <w:tcW w:type="dxa" w:w="5184"/>
          </w:tcPr>
          <w:p>
            <w:r>
              <w:t>Safe fields, no sensitive payloads</w:t>
            </w:r>
          </w:p>
        </w:tc>
      </w:tr>
      <w:tr>
        <w:tc>
          <w:tcPr>
            <w:tcW w:type="dxa" w:w="5184"/>
          </w:tcPr>
          <w:p>
            <w:r>
              <w:t>Metrics</w:t>
            </w:r>
          </w:p>
        </w:tc>
        <w:tc>
          <w:tcPr>
            <w:tcW w:type="dxa" w:w="5184"/>
          </w:tcPr>
          <w:p>
            <w:r>
              <w:t>Appointment/notification volume and failures</w:t>
            </w:r>
          </w:p>
        </w:tc>
      </w:tr>
      <w:tr>
        <w:tc>
          <w:tcPr>
            <w:tcW w:type="dxa" w:w="5184"/>
          </w:tcPr>
          <w:p>
            <w:r>
              <w:t>Queue age</w:t>
            </w:r>
          </w:p>
        </w:tc>
        <w:tc>
          <w:tcPr>
            <w:tcW w:type="dxa" w:w="5184"/>
          </w:tcPr>
          <w:p>
            <w:r>
              <w:t>Notification backlog visibility</w:t>
            </w:r>
          </w:p>
        </w:tc>
      </w:tr>
      <w:tr>
        <w:tc>
          <w:tcPr>
            <w:tcW w:type="dxa" w:w="5184"/>
          </w:tcPr>
          <w:p>
            <w:r>
              <w:t>Latency</w:t>
            </w:r>
          </w:p>
        </w:tc>
        <w:tc>
          <w:tcPr>
            <w:tcW w:type="dxa" w:w="5184"/>
          </w:tcPr>
          <w:p>
            <w:r>
              <w:t>API and worker processing</w:t>
            </w:r>
          </w:p>
        </w:tc>
      </w:tr>
      <w:tr>
        <w:tc>
          <w:tcPr>
            <w:tcW w:type="dxa" w:w="5184"/>
          </w:tcPr>
          <w:p>
            <w:r>
              <w:t>Errors</w:t>
            </w:r>
          </w:p>
        </w:tc>
        <w:tc>
          <w:tcPr>
            <w:tcW w:type="dxa" w:w="5184"/>
          </w:tcPr>
          <w:p>
            <w:r>
              <w:t>Normalized and searchable</w:t>
            </w:r>
          </w:p>
        </w:tc>
      </w:tr>
      <w:tr>
        <w:tc>
          <w:tcPr>
            <w:tcW w:type="dxa" w:w="5184"/>
          </w:tcPr>
          <w:p>
            <w:r>
              <w:t>Audit</w:t>
            </w:r>
          </w:p>
        </w:tc>
        <w:tc>
          <w:tcPr>
            <w:tcW w:type="dxa" w:w="5184"/>
          </w:tcPr>
          <w:p>
            <w:r>
              <w:t>Material business mutations traceable</w:t>
            </w:r>
          </w:p>
        </w:tc>
      </w:tr>
      <w:tr>
        <w:tc>
          <w:tcPr>
            <w:tcW w:type="dxa" w:w="5184"/>
          </w:tcPr>
          <w:p>
            <w:r>
              <w:t>Health</w:t>
            </w:r>
          </w:p>
        </w:tc>
        <w:tc>
          <w:tcPr>
            <w:tcW w:type="dxa" w:w="5184"/>
          </w:tcPr>
          <w:p>
            <w:r>
              <w:t>Liveness/readiness status</w:t>
            </w:r>
          </w:p>
        </w:tc>
      </w:tr>
    </w:tbl>
    <w:p>
      <w:r>
        <w:t>Observability must support incident diagnosis without requiring raw patient message content.</w:t>
      </w:r>
    </w:p>
    <w:p>
      <w:pPr>
        <w:pStyle w:val="Heading1"/>
      </w:pPr>
      <w:r>
        <w:t>15. Health Checks</w:t>
      </w:r>
    </w:p>
    <w:p>
      <w:pPr>
        <w:pStyle w:val="ListBullet"/>
      </w:pPr>
      <w:r>
        <w:t>Liveness indicates process responsiveness only.</w:t>
      </w:r>
    </w:p>
    <w:p>
      <w:pPr>
        <w:pStyle w:val="ListBullet"/>
      </w:pPr>
      <w:r>
        <w:t>Readiness verifies required dependencies needed to serve traffic.</w:t>
      </w:r>
    </w:p>
    <w:p>
      <w:pPr>
        <w:pStyle w:val="ListBullet"/>
      </w:pPr>
      <w:r>
        <w:t>Worker health indicates dispatcher availability and queue processing capability.</w:t>
      </w:r>
    </w:p>
    <w:p>
      <w:pPr>
        <w:pStyle w:val="ListBullet"/>
      </w:pPr>
      <w:r>
        <w:t>Health endpoints expose no secrets or sensitive database details.</w:t>
      </w:r>
    </w:p>
    <w:p>
      <w:pPr>
        <w:pStyle w:val="ListBullet"/>
      </w:pPr>
      <w:r>
        <w:t>Dependency failure must produce an operationally useful but safe status.</w:t>
      </w:r>
    </w:p>
    <w:p>
      <w:pPr>
        <w:pStyle w:val="Heading1"/>
      </w:pPr>
      <w:r>
        <w:t>16. Backup &amp; Restore Rehearsal</w:t>
      </w:r>
    </w:p>
    <w:p>
      <w:pPr>
        <w:pStyle w:val="ListNumber"/>
      </w:pPr>
      <w:r>
        <w:t>Create controlled non-production backup.</w:t>
      </w:r>
    </w:p>
    <w:p>
      <w:pPr>
        <w:pStyle w:val="ListNumber"/>
      </w:pPr>
      <w:r>
        <w:t>Record backup timestamp and version.</w:t>
      </w:r>
    </w:p>
    <w:p>
      <w:pPr>
        <w:pStyle w:val="ListNumber"/>
      </w:pPr>
      <w:r>
        <w:t>Restore into isolated environment.</w:t>
      </w:r>
    </w:p>
    <w:p>
      <w:pPr>
        <w:pStyle w:val="ListNumber"/>
      </w:pPr>
      <w:r>
        <w:t>Run schema/integrity checks.</w:t>
      </w:r>
    </w:p>
    <w:p>
      <w:pPr>
        <w:pStyle w:val="ListNumber"/>
      </w:pPr>
      <w:r>
        <w:t>Run critical read queries.</w:t>
      </w:r>
    </w:p>
    <w:p>
      <w:pPr>
        <w:pStyle w:val="ListNumber"/>
      </w:pPr>
      <w:r>
        <w:t>Run critical E2E smoke tests against restored data.</w:t>
      </w:r>
    </w:p>
    <w:p>
      <w:pPr>
        <w:pStyle w:val="ListNumber"/>
      </w:pPr>
      <w:r>
        <w:t>Document recovery duration and gaps.</w:t>
      </w:r>
    </w:p>
    <w:p>
      <w:pPr>
        <w:pStyle w:val="Heading1"/>
      </w:pPr>
      <w:r>
        <w:t>17. Migration Rehearsal</w:t>
      </w:r>
    </w:p>
    <w:p>
      <w:pPr>
        <w:pStyle w:val="ListNumber"/>
      </w:pPr>
      <w:r>
        <w:t>Start from representative baseline database.</w:t>
      </w:r>
    </w:p>
    <w:p>
      <w:pPr>
        <w:pStyle w:val="ListNumber"/>
      </w:pPr>
      <w:r>
        <w:t>Apply all pending migrations.</w:t>
      </w:r>
    </w:p>
    <w:p>
      <w:pPr>
        <w:pStyle w:val="ListNumber"/>
      </w:pPr>
      <w:r>
        <w:t>Verify schema/version.</w:t>
      </w:r>
    </w:p>
    <w:p>
      <w:pPr>
        <w:pStyle w:val="ListNumber"/>
      </w:pPr>
      <w:r>
        <w:t>Run application smoke tests.</w:t>
      </w:r>
    </w:p>
    <w:p>
      <w:pPr>
        <w:pStyle w:val="ListNumber"/>
      </w:pPr>
      <w:r>
        <w:t>Test rollback strategy where supported and approved.</w:t>
      </w:r>
    </w:p>
    <w:p>
      <w:pPr>
        <w:pStyle w:val="ListNumber"/>
      </w:pPr>
      <w:r>
        <w:t>Document destructive/irreversible steps.</w:t>
      </w:r>
    </w:p>
    <w:p>
      <w:pPr>
        <w:pStyle w:val="Heading1"/>
      </w:pPr>
      <w:r>
        <w:t>18. Worker Crash &amp; Recovery</w:t>
      </w:r>
    </w:p>
    <w:p>
      <w:pPr>
        <w:pStyle w:val="ListNumber"/>
      </w:pPr>
      <w:r>
        <w:t>Claim notification.</w:t>
      </w:r>
    </w:p>
    <w:p>
      <w:pPr>
        <w:pStyle w:val="ListNumber"/>
      </w:pPr>
      <w:r>
        <w:t>Terminate worker before completion.</w:t>
      </w:r>
    </w:p>
    <w:p>
      <w:pPr>
        <w:pStyle w:val="ListNumber"/>
      </w:pPr>
      <w:r>
        <w:t>Allow lease to expire or invoke approved recovery path.</w:t>
      </w:r>
    </w:p>
    <w:p>
      <w:pPr>
        <w:pStyle w:val="ListNumber"/>
      </w:pPr>
      <w:r>
        <w:t>Start another worker.</w:t>
      </w:r>
    </w:p>
    <w:p>
      <w:pPr>
        <w:pStyle w:val="ListNumber"/>
      </w:pPr>
      <w:r>
        <w:t>Verify notification is recoverable.</w:t>
      </w:r>
    </w:p>
    <w:p>
      <w:pPr>
        <w:pStyle w:val="ListNumber"/>
      </w:pPr>
      <w:r>
        <w:t>Verify duplicate delivery protection behaves according to provider limitations.</w:t>
      </w:r>
    </w:p>
    <w:p>
      <w:pPr>
        <w:pStyle w:val="Heading1"/>
      </w:pPr>
      <w:r>
        <w:t>19. Performance &amp; Load Smoke Tests</w:t>
      </w:r>
    </w:p>
    <w:p>
      <w:pPr>
        <w:pStyle w:val="ListBullet"/>
      </w:pPr>
      <w:r>
        <w:t>Baseline API latency under representative synthetic load.</w:t>
      </w:r>
    </w:p>
    <w:p>
      <w:pPr>
        <w:pStyle w:val="ListBullet"/>
      </w:pPr>
      <w:r>
        <w:t>Patient search/list pagination under load.</w:t>
      </w:r>
    </w:p>
    <w:p>
      <w:pPr>
        <w:pStyle w:val="ListBullet"/>
      </w:pPr>
      <w:r>
        <w:t>Appointment creation under normal concurrency.</w:t>
      </w:r>
    </w:p>
    <w:p>
      <w:pPr>
        <w:pStyle w:val="ListBullet"/>
      </w:pPr>
      <w:r>
        <w:t>Appointment conflict contention.</w:t>
      </w:r>
    </w:p>
    <w:p>
      <w:pPr>
        <w:pStyle w:val="ListBullet"/>
      </w:pPr>
      <w:r>
        <w:t>Notification worker throughput.</w:t>
      </w:r>
    </w:p>
    <w:p>
      <w:pPr>
        <w:pStyle w:val="ListBullet"/>
      </w:pPr>
      <w:r>
        <w:t>Database connection pool behavior.</w:t>
      </w:r>
    </w:p>
    <w:p>
      <w:pPr>
        <w:pStyle w:val="ListBullet"/>
      </w:pPr>
      <w:r>
        <w:t>Error rate and queue growth under sustained load.</w:t>
      </w:r>
    </w:p>
    <w:p>
      <w:r>
        <w:t>M6 does not establish final capacity numbers unless approved performance requirements exist. Record observed results and capacity risks for M7.</w:t>
      </w:r>
    </w:p>
    <w:p>
      <w:pPr>
        <w:pStyle w:val="Heading1"/>
      </w:pPr>
      <w:r>
        <w:t>20. E2E Test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Scenario</w:t>
            </w:r>
          </w:p>
        </w:tc>
        <w:tc>
          <w:tcPr>
            <w:tcW w:type="dxa" w:w="3456"/>
          </w:tcPr>
          <w:p>
            <w:r>
              <w:t>Expected</w:t>
            </w:r>
          </w:p>
        </w:tc>
      </w:tr>
      <w:tr>
        <w:tc>
          <w:tcPr>
            <w:tcW w:type="dxa" w:w="3456"/>
          </w:tcPr>
          <w:p>
            <w:r>
              <w:t>M6-E2E-001</w:t>
            </w:r>
          </w:p>
        </w:tc>
        <w:tc>
          <w:tcPr>
            <w:tcW w:type="dxa" w:w="3456"/>
          </w:tcPr>
          <w:p>
            <w:r>
              <w:t>Patient create/read/update</w:t>
            </w:r>
          </w:p>
        </w:tc>
        <w:tc>
          <w:tcPr>
            <w:tcW w:type="dxa" w:w="3456"/>
          </w:tcPr>
          <w:p>
            <w:r>
              <w:t>Complete secure workflow</w:t>
            </w:r>
          </w:p>
        </w:tc>
      </w:tr>
      <w:tr>
        <w:tc>
          <w:tcPr>
            <w:tcW w:type="dxa" w:w="3456"/>
          </w:tcPr>
          <w:p>
            <w:r>
              <w:t>M6-E2E-002</w:t>
            </w:r>
          </w:p>
        </w:tc>
        <w:tc>
          <w:tcPr>
            <w:tcW w:type="dxa" w:w="3456"/>
          </w:tcPr>
          <w:p>
            <w:r>
              <w:t>Cross-tenant patient access</w:t>
            </w:r>
          </w:p>
        </w:tc>
        <w:tc>
          <w:tcPr>
            <w:tcW w:type="dxa" w:w="3456"/>
          </w:tcPr>
          <w:p>
            <w:r>
              <w:t>Denied</w:t>
            </w:r>
          </w:p>
        </w:tc>
      </w:tr>
      <w:tr>
        <w:tc>
          <w:tcPr>
            <w:tcW w:type="dxa" w:w="3456"/>
          </w:tcPr>
          <w:p>
            <w:r>
              <w:t>M6-E2E-003</w:t>
            </w:r>
          </w:p>
        </w:tc>
        <w:tc>
          <w:tcPr>
            <w:tcW w:type="dxa" w:w="3456"/>
          </w:tcPr>
          <w:p>
            <w:r>
              <w:t>Appointment create</w:t>
            </w:r>
          </w:p>
        </w:tc>
        <w:tc>
          <w:tcPr>
            <w:tcW w:type="dxa" w:w="3456"/>
          </w:tcPr>
          <w:p>
            <w:r>
              <w:t>Appointment + history + audit + outbox committed</w:t>
            </w:r>
          </w:p>
        </w:tc>
      </w:tr>
      <w:tr>
        <w:tc>
          <w:tcPr>
            <w:tcW w:type="dxa" w:w="3456"/>
          </w:tcPr>
          <w:p>
            <w:r>
              <w:t>M6-E2E-004</w:t>
            </w:r>
          </w:p>
        </w:tc>
        <w:tc>
          <w:tcPr>
            <w:tcW w:type="dxa" w:w="3456"/>
          </w:tcPr>
          <w:p>
            <w:r>
              <w:t>Appointment confirm</w:t>
            </w:r>
          </w:p>
        </w:tc>
        <w:tc>
          <w:tcPr>
            <w:tcW w:type="dxa" w:w="3456"/>
          </w:tcPr>
          <w:p>
            <w:r>
              <w:t>Lifecycle + outbox correct</w:t>
            </w:r>
          </w:p>
        </w:tc>
      </w:tr>
      <w:tr>
        <w:tc>
          <w:tcPr>
            <w:tcW w:type="dxa" w:w="3456"/>
          </w:tcPr>
          <w:p>
            <w:r>
              <w:t>M6-E2E-005</w:t>
            </w:r>
          </w:p>
        </w:tc>
        <w:tc>
          <w:tcPr>
            <w:tcW w:type="dxa" w:w="3456"/>
          </w:tcPr>
          <w:p>
            <w:r>
              <w:t>Appointment reschedule</w:t>
            </w:r>
          </w:p>
        </w:tc>
        <w:tc>
          <w:tcPr>
            <w:tcW w:type="dxa" w:w="3456"/>
          </w:tcPr>
          <w:p>
            <w:r>
              <w:t>Conflict/version rules preserved</w:t>
            </w:r>
          </w:p>
        </w:tc>
      </w:tr>
      <w:tr>
        <w:tc>
          <w:tcPr>
            <w:tcW w:type="dxa" w:w="3456"/>
          </w:tcPr>
          <w:p>
            <w:r>
              <w:t>M6-E2E-006</w:t>
            </w:r>
          </w:p>
        </w:tc>
        <w:tc>
          <w:tcPr>
            <w:tcW w:type="dxa" w:w="3456"/>
          </w:tcPr>
          <w:p>
            <w:r>
              <w:t>Appointment cancel</w:t>
            </w:r>
          </w:p>
        </w:tc>
        <w:tc>
          <w:tcPr>
            <w:tcW w:type="dxa" w:w="3456"/>
          </w:tcPr>
          <w:p>
            <w:r>
              <w:t>Lifecycle + notification correct</w:t>
            </w:r>
          </w:p>
        </w:tc>
      </w:tr>
      <w:tr>
        <w:tc>
          <w:tcPr>
            <w:tcW w:type="dxa" w:w="3456"/>
          </w:tcPr>
          <w:p>
            <w:r>
              <w:t>M6-E2E-007</w:t>
            </w:r>
          </w:p>
        </w:tc>
        <w:tc>
          <w:tcPr>
            <w:tcW w:type="dxa" w:w="3456"/>
          </w:tcPr>
          <w:p>
            <w:r>
              <w:t>Outbox worker success</w:t>
            </w:r>
          </w:p>
        </w:tc>
        <w:tc>
          <w:tcPr>
            <w:tcW w:type="dxa" w:w="3456"/>
          </w:tcPr>
          <w:p>
            <w:r>
              <w:t>Delivered/status recorded</w:t>
            </w:r>
          </w:p>
        </w:tc>
      </w:tr>
      <w:tr>
        <w:tc>
          <w:tcPr>
            <w:tcW w:type="dxa" w:w="3456"/>
          </w:tcPr>
          <w:p>
            <w:r>
              <w:t>M6-E2E-008</w:t>
            </w:r>
          </w:p>
        </w:tc>
        <w:tc>
          <w:tcPr>
            <w:tcW w:type="dxa" w:w="3456"/>
          </w:tcPr>
          <w:p>
            <w:r>
              <w:t>Provider outage</w:t>
            </w:r>
          </w:p>
        </w:tc>
        <w:tc>
          <w:tcPr>
            <w:tcW w:type="dxa" w:w="3456"/>
          </w:tcPr>
          <w:p>
            <w:r>
              <w:t>Appointment remains committed; notification retries</w:t>
            </w:r>
          </w:p>
        </w:tc>
      </w:tr>
      <w:tr>
        <w:tc>
          <w:tcPr>
            <w:tcW w:type="dxa" w:w="3456"/>
          </w:tcPr>
          <w:p>
            <w:r>
              <w:t>M6-E2E-009</w:t>
            </w:r>
          </w:p>
        </w:tc>
        <w:tc>
          <w:tcPr>
            <w:tcW w:type="dxa" w:w="3456"/>
          </w:tcPr>
          <w:p>
            <w:r>
              <w:t>Worker crash</w:t>
            </w:r>
          </w:p>
        </w:tc>
        <w:tc>
          <w:tcPr>
            <w:tcW w:type="dxa" w:w="3456"/>
          </w:tcPr>
          <w:p>
            <w:r>
              <w:t>Lease recovery</w:t>
            </w:r>
          </w:p>
        </w:tc>
      </w:tr>
      <w:tr>
        <w:tc>
          <w:tcPr>
            <w:tcW w:type="dxa" w:w="3456"/>
          </w:tcPr>
          <w:p>
            <w:r>
              <w:t>M6-E2E-010</w:t>
            </w:r>
          </w:p>
        </w:tc>
        <w:tc>
          <w:tcPr>
            <w:tcW w:type="dxa" w:w="3456"/>
          </w:tcPr>
          <w:p>
            <w:r>
              <w:t>Duplicate command</w:t>
            </w:r>
          </w:p>
        </w:tc>
        <w:tc>
          <w:tcPr>
            <w:tcW w:type="dxa" w:w="3456"/>
          </w:tcPr>
          <w:p>
            <w:r>
              <w:t>Idempotent/no duplicate mutation</w:t>
            </w:r>
          </w:p>
        </w:tc>
      </w:tr>
      <w:tr>
        <w:tc>
          <w:tcPr>
            <w:tcW w:type="dxa" w:w="3456"/>
          </w:tcPr>
          <w:p>
            <w:r>
              <w:t>M6-E2E-011</w:t>
            </w:r>
          </w:p>
        </w:tc>
        <w:tc>
          <w:tcPr>
            <w:tcW w:type="dxa" w:w="3456"/>
          </w:tcPr>
          <w:p>
            <w:r>
              <w:t>Restore backup</w:t>
            </w:r>
          </w:p>
        </w:tc>
        <w:tc>
          <w:tcPr>
            <w:tcW w:type="dxa" w:w="3456"/>
          </w:tcPr>
          <w:p>
            <w:r>
              <w:t>System usable after restore</w:t>
            </w:r>
          </w:p>
        </w:tc>
      </w:tr>
      <w:tr>
        <w:tc>
          <w:tcPr>
            <w:tcW w:type="dxa" w:w="3456"/>
          </w:tcPr>
          <w:p>
            <w:r>
              <w:t>M6-E2E-012</w:t>
            </w:r>
          </w:p>
        </w:tc>
        <w:tc>
          <w:tcPr>
            <w:tcW w:type="dxa" w:w="3456"/>
          </w:tcPr>
          <w:p>
            <w:r>
              <w:t>Migration rehearsal</w:t>
            </w:r>
          </w:p>
        </w:tc>
        <w:tc>
          <w:tcPr>
            <w:tcW w:type="dxa" w:w="3456"/>
          </w:tcPr>
          <w:p>
            <w:r>
              <w:t>Schema/application compatible</w:t>
            </w:r>
          </w:p>
        </w:tc>
      </w:tr>
      <w:tr>
        <w:tc>
          <w:tcPr>
            <w:tcW w:type="dxa" w:w="3456"/>
          </w:tcPr>
          <w:p>
            <w:r>
              <w:t>M6-OPS-001</w:t>
            </w:r>
          </w:p>
        </w:tc>
        <w:tc>
          <w:tcPr>
            <w:tcW w:type="dxa" w:w="3456"/>
          </w:tcPr>
          <w:p>
            <w:r>
              <w:t>Health checks</w:t>
            </w:r>
          </w:p>
        </w:tc>
        <w:tc>
          <w:tcPr>
            <w:tcW w:type="dxa" w:w="3456"/>
          </w:tcPr>
          <w:p>
            <w:r>
              <w:t>Correct safe statuses</w:t>
            </w:r>
          </w:p>
        </w:tc>
      </w:tr>
      <w:tr>
        <w:tc>
          <w:tcPr>
            <w:tcW w:type="dxa" w:w="3456"/>
          </w:tcPr>
          <w:p>
            <w:r>
              <w:t>M6-OBS-001</w:t>
            </w:r>
          </w:p>
        </w:tc>
        <w:tc>
          <w:tcPr>
            <w:tcW w:type="dxa" w:w="3456"/>
          </w:tcPr>
          <w:p>
            <w:r>
              <w:t>Correlation trace</w:t>
            </w:r>
          </w:p>
        </w:tc>
        <w:tc>
          <w:tcPr>
            <w:tcW w:type="dxa" w:w="3456"/>
          </w:tcPr>
          <w:p>
            <w:r>
              <w:t>End-to-end traceability</w:t>
            </w:r>
          </w:p>
        </w:tc>
      </w:tr>
      <w:tr>
        <w:tc>
          <w:tcPr>
            <w:tcW w:type="dxa" w:w="3456"/>
          </w:tcPr>
          <w:p>
            <w:r>
              <w:t>M6-PERF-001</w:t>
            </w:r>
          </w:p>
        </w:tc>
        <w:tc>
          <w:tcPr>
            <w:tcW w:type="dxa" w:w="3456"/>
          </w:tcPr>
          <w:p>
            <w:r>
              <w:t>Representative load</w:t>
            </w:r>
          </w:p>
        </w:tc>
        <w:tc>
          <w:tcPr>
            <w:tcW w:type="dxa" w:w="3456"/>
          </w:tcPr>
          <w:p>
            <w:r>
              <w:t>Within approved limits or risk documented</w:t>
            </w:r>
          </w:p>
        </w:tc>
      </w:tr>
    </w:tbl>
    <w:p>
      <w:pPr>
        <w:pStyle w:val="Heading1"/>
      </w:pPr>
      <w:r>
        <w:t>21. Operational Runbooks</w:t>
      </w:r>
    </w:p>
    <w:p>
      <w:pPr>
        <w:pStyle w:val="ListBullet"/>
      </w:pPr>
      <w:r>
        <w:t>Notification queue backlog.</w:t>
      </w:r>
    </w:p>
    <w:p>
      <w:pPr>
        <w:pStyle w:val="ListBullet"/>
      </w:pPr>
      <w:r>
        <w:t>Provider outage.</w:t>
      </w:r>
    </w:p>
    <w:p>
      <w:pPr>
        <w:pStyle w:val="ListBullet"/>
      </w:pPr>
      <w:r>
        <w:t>Worker crash/stuck lease.</w:t>
      </w:r>
    </w:p>
    <w:p>
      <w:pPr>
        <w:pStyle w:val="ListBullet"/>
      </w:pPr>
      <w:r>
        <w:t>Database connectivity failure.</w:t>
      </w:r>
    </w:p>
    <w:p>
      <w:pPr>
        <w:pStyle w:val="ListBullet"/>
      </w:pPr>
      <w:r>
        <w:t>High API error rate.</w:t>
      </w:r>
    </w:p>
    <w:p>
      <w:pPr>
        <w:pStyle w:val="ListBullet"/>
      </w:pPr>
      <w:r>
        <w:t>Authentication outage.</w:t>
      </w:r>
    </w:p>
    <w:p>
      <w:pPr>
        <w:pStyle w:val="ListBullet"/>
      </w:pPr>
      <w:r>
        <w:t>Suspicious cross-tenant access alert.</w:t>
      </w:r>
    </w:p>
    <w:p>
      <w:pPr>
        <w:pStyle w:val="ListBullet"/>
      </w:pPr>
      <w:r>
        <w:t>Backup restore.</w:t>
      </w:r>
    </w:p>
    <w:p>
      <w:pPr>
        <w:pStyle w:val="ListBullet"/>
      </w:pPr>
      <w:r>
        <w:t>Failed migration.</w:t>
      </w:r>
    </w:p>
    <w:p>
      <w:pPr>
        <w:pStyle w:val="ListBullet"/>
      </w:pPr>
      <w:r>
        <w:t>Emergency rollback.</w:t>
      </w:r>
    </w:p>
    <w:p>
      <w:pPr>
        <w:pStyle w:val="Heading1"/>
      </w:pPr>
      <w:r>
        <w:t>22. Incident Evidence Requirements</w:t>
      </w:r>
    </w:p>
    <w:p>
      <w:pPr>
        <w:pStyle w:val="ListBullet"/>
      </w:pPr>
      <w:r>
        <w:t>Incident timestamp.</w:t>
      </w:r>
    </w:p>
    <w:p>
      <w:pPr>
        <w:pStyle w:val="ListBullet"/>
      </w:pPr>
      <w:r>
        <w:t>Correlation/request IDs.</w:t>
      </w:r>
    </w:p>
    <w:p>
      <w:pPr>
        <w:pStyle w:val="ListBullet"/>
      </w:pPr>
      <w:r>
        <w:t>Affected service/domain.</w:t>
      </w:r>
    </w:p>
    <w:p>
      <w:pPr>
        <w:pStyle w:val="ListBullet"/>
      </w:pPr>
      <w:r>
        <w:t>Safe error and metric evidence.</w:t>
      </w:r>
    </w:p>
    <w:p>
      <w:pPr>
        <w:pStyle w:val="ListBullet"/>
      </w:pPr>
      <w:r>
        <w:t>Actions taken.</w:t>
      </w:r>
    </w:p>
    <w:p>
      <w:pPr>
        <w:pStyle w:val="ListBullet"/>
      </w:pPr>
      <w:r>
        <w:t>Recovery result.</w:t>
      </w:r>
    </w:p>
    <w:p>
      <w:pPr>
        <w:pStyle w:val="ListBullet"/>
      </w:pPr>
      <w:r>
        <w:t>Data integrity verification.</w:t>
      </w:r>
    </w:p>
    <w:p>
      <w:pPr>
        <w:pStyle w:val="ListBullet"/>
      </w:pPr>
      <w:r>
        <w:t>Follow-up action/owner.</w:t>
      </w:r>
    </w:p>
    <w:p>
      <w:pPr>
        <w:pStyle w:val="Heading1"/>
      </w:pPr>
      <w:r>
        <w:t>23. Cursor M6 Prompt</w:t>
      </w:r>
    </w:p>
    <w:p>
      <w:r>
        <w:t>Execute M6 — E2E &amp; Operations only. Treat TDA-GOV-SOT-001, TDA-GOV-CUR-001, TDA-GOV-CMP-001, TDA-IMP-001, TDA-QA-001 and M1–M5 implementation plans as controlled sources of truth. First verify M1–M5 mandatory gates. Build and execute only integrated E2E and operational validation: patient workflow, appointment lifecycle, transactional outbox, notification worker/provider sandbox, retries, worker crash recovery, tenant/security regression, correlation/observability, health checks, backup/restore rehearsal, migration rehearsal, performance smoke tests and operational runbook validation. Use synthetic data only. Do not change business rules merely to make E2E tests pass. Do not introduce new features or architecture. Do not use production credentials or real patient data. Do not commit. If an E2E invariant fails, data integrity cannot be proven, recovery is unsafe, or an architecture change is required, STOP and report. Finish with status, scenarios executed, pass/fail results, logs/metrics evidence, recovery results, performance observations, operational gaps, files changed, Git state and one recommended next step.</w:t>
      </w:r>
    </w:p>
    <w:p>
      <w:pPr>
        <w:pStyle w:val="Heading1"/>
      </w:pPr>
      <w:r>
        <w:t>24. M6 Execution Sequence</w:t>
      </w:r>
    </w:p>
    <w:p>
      <w:pPr>
        <w:pStyle w:val="ListNumber"/>
      </w:pPr>
      <w:r>
        <w:t>1. Verify M1–M5 gates.</w:t>
      </w:r>
    </w:p>
    <w:p>
      <w:pPr>
        <w:pStyle w:val="ListNumber"/>
      </w:pPr>
      <w:r>
        <w:t>2. Prepare isolated E2E environment and synthetic data.</w:t>
      </w:r>
    </w:p>
    <w:p>
      <w:pPr>
        <w:pStyle w:val="ListNumber"/>
      </w:pPr>
      <w:r>
        <w:t>3. Execute patient critical paths.</w:t>
      </w:r>
    </w:p>
    <w:p>
      <w:pPr>
        <w:pStyle w:val="ListNumber"/>
      </w:pPr>
      <w:r>
        <w:t>4. Execute appointment lifecycle paths.</w:t>
      </w:r>
    </w:p>
    <w:p>
      <w:pPr>
        <w:pStyle w:val="ListNumber"/>
      </w:pPr>
      <w:r>
        <w:t>5. Execute outbox/worker/provider paths.</w:t>
      </w:r>
    </w:p>
    <w:p>
      <w:pPr>
        <w:pStyle w:val="ListNumber"/>
      </w:pPr>
      <w:r>
        <w:t>6. Execute provider outage/retry scenarios.</w:t>
      </w:r>
    </w:p>
    <w:p>
      <w:pPr>
        <w:pStyle w:val="ListNumber"/>
      </w:pPr>
      <w:r>
        <w:t>7. Execute worker crash/lease recovery.</w:t>
      </w:r>
    </w:p>
    <w:p>
      <w:pPr>
        <w:pStyle w:val="ListNumber"/>
      </w:pPr>
      <w:r>
        <w:t>8. Execute security regression in integrated environment.</w:t>
      </w:r>
    </w:p>
    <w:p>
      <w:pPr>
        <w:pStyle w:val="ListNumber"/>
      </w:pPr>
      <w:r>
        <w:t>9. Validate correlation, logs, metrics and health checks.</w:t>
      </w:r>
    </w:p>
    <w:p>
      <w:pPr>
        <w:pStyle w:val="ListNumber"/>
      </w:pPr>
      <w:r>
        <w:t>10. Rehearse backup/restore.</w:t>
      </w:r>
    </w:p>
    <w:p>
      <w:pPr>
        <w:pStyle w:val="ListNumber"/>
      </w:pPr>
      <w:r>
        <w:t>11. Rehearse migrations.</w:t>
      </w:r>
    </w:p>
    <w:p>
      <w:pPr>
        <w:pStyle w:val="ListNumber"/>
      </w:pPr>
      <w:r>
        <w:t>12. Run performance/load smoke tests.</w:t>
      </w:r>
    </w:p>
    <w:p>
      <w:pPr>
        <w:pStyle w:val="ListNumber"/>
      </w:pPr>
      <w:r>
        <w:t>13. Validate operational runbooks.</w:t>
      </w:r>
    </w:p>
    <w:p>
      <w:pPr>
        <w:pStyle w:val="ListNumber"/>
      </w:pPr>
      <w:r>
        <w:t>14. Produce M6 evidence and gate decision.</w:t>
      </w:r>
    </w:p>
    <w:p>
      <w:pPr>
        <w:pStyle w:val="Heading1"/>
      </w:pPr>
      <w:r>
        <w:t>25. M6 Stop Conditions</w:t>
      </w:r>
    </w:p>
    <w:p>
      <w:pPr>
        <w:pStyle w:val="ListBullet"/>
      </w:pPr>
      <w:r>
        <w:t>Critical E2E business workflow fails.</w:t>
      </w:r>
    </w:p>
    <w:p>
      <w:pPr>
        <w:pStyle w:val="ListBullet"/>
      </w:pPr>
      <w:r>
        <w:t>Appointment + history + audit + outbox atomicity cannot be proven.</w:t>
      </w:r>
    </w:p>
    <w:p>
      <w:pPr>
        <w:pStyle w:val="ListBullet"/>
      </w:pPr>
      <w:r>
        <w:t>Provider outage causes appointment rollback or inconsistent business state.</w:t>
      </w:r>
    </w:p>
    <w:p>
      <w:pPr>
        <w:pStyle w:val="ListBullet"/>
      </w:pPr>
      <w:r>
        <w:t>Cross-tenant access succeeds.</w:t>
      </w:r>
    </w:p>
    <w:p>
      <w:pPr>
        <w:pStyle w:val="ListBullet"/>
      </w:pPr>
      <w:r>
        <w:t>Worker crash causes unrecoverable or uncontrolled notification state.</w:t>
      </w:r>
    </w:p>
    <w:p>
      <w:pPr>
        <w:pStyle w:val="ListBullet"/>
      </w:pPr>
      <w:r>
        <w:t>Backup cannot be restored sufficiently for approved recovery objective.</w:t>
      </w:r>
    </w:p>
    <w:p>
      <w:pPr>
        <w:pStyle w:val="ListBullet"/>
      </w:pPr>
      <w:r>
        <w:t>Migration causes data loss/incompatibility without approved plan.</w:t>
      </w:r>
    </w:p>
    <w:p>
      <w:pPr>
        <w:pStyle w:val="ListBullet"/>
      </w:pPr>
      <w:r>
        <w:t>Critical operational telemetry is missing.</w:t>
      </w:r>
    </w:p>
    <w:p>
      <w:pPr>
        <w:pStyle w:val="ListBullet"/>
      </w:pPr>
      <w:r>
        <w:t>Production credentials or real patient data are required for testing.</w:t>
      </w:r>
    </w:p>
    <w:p>
      <w:pPr>
        <w:pStyle w:val="Heading1"/>
      </w:pPr>
      <w:r>
        <w:t>26. M6 Definition of Done</w:t>
      </w:r>
    </w:p>
    <w:p>
      <w:pPr>
        <w:pStyle w:val="ListBullet"/>
      </w:pPr>
      <w:r>
        <w:t>Critical patient and appointment journeys pass.</w:t>
      </w:r>
    </w:p>
    <w:p>
      <w:pPr>
        <w:pStyle w:val="ListBullet"/>
      </w:pPr>
      <w:r>
        <w:t>Appointment transactional invariant passes end-to-end.</w:t>
      </w:r>
    </w:p>
    <w:p>
      <w:pPr>
        <w:pStyle w:val="ListBullet"/>
      </w:pPr>
      <w:r>
        <w:t>Notification delivery/retry/recovery passes.</w:t>
      </w:r>
    </w:p>
    <w:p>
      <w:pPr>
        <w:pStyle w:val="ListBullet"/>
      </w:pPr>
      <w:r>
        <w:t>Cross-tenant/security regression passes.</w:t>
      </w:r>
    </w:p>
    <w:p>
      <w:pPr>
        <w:pStyle w:val="ListBullet"/>
      </w:pPr>
      <w:r>
        <w:t>Worker crash recovery passes.</w:t>
      </w:r>
    </w:p>
    <w:p>
      <w:pPr>
        <w:pStyle w:val="ListBullet"/>
      </w:pPr>
      <w:r>
        <w:t>Observability and health checks are usable.</w:t>
      </w:r>
    </w:p>
    <w:p>
      <w:pPr>
        <w:pStyle w:val="ListBullet"/>
      </w:pPr>
      <w:r>
        <w:t>Backup/restore rehearsal is successful or gaps are explicitly approved.</w:t>
      </w:r>
    </w:p>
    <w:p>
      <w:pPr>
        <w:pStyle w:val="ListBullet"/>
      </w:pPr>
      <w:r>
        <w:t>Migration rehearsal passes.</w:t>
      </w:r>
    </w:p>
    <w:p>
      <w:pPr>
        <w:pStyle w:val="ListBullet"/>
      </w:pPr>
      <w:r>
        <w:t>Performance smoke results are recorded.</w:t>
      </w:r>
    </w:p>
    <w:p>
      <w:pPr>
        <w:pStyle w:val="ListBullet"/>
      </w:pPr>
      <w:r>
        <w:t>Operational runbooks are validated.</w:t>
      </w:r>
    </w:p>
    <w:p>
      <w:pPr>
        <w:pStyle w:val="ListBullet"/>
      </w:pPr>
      <w:r>
        <w:t>M6 evidence report is complete.</w:t>
      </w:r>
    </w:p>
    <w:p>
      <w:pPr>
        <w:pStyle w:val="ListBullet"/>
      </w:pPr>
      <w:r>
        <w:t>RTM is updated.</w:t>
      </w:r>
    </w:p>
    <w:p>
      <w:pPr>
        <w:pStyle w:val="Heading1"/>
      </w:pPr>
      <w:r>
        <w:t>27. M6 Evidence Report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Gate</w:t>
            </w:r>
          </w:p>
        </w:tc>
        <w:tc>
          <w:tcPr>
            <w:tcW w:type="dxa" w:w="5184"/>
          </w:tcPr>
          <w:p>
            <w:r>
              <w:t>PASS / CONDITIONAL / BLOCKED</w:t>
            </w:r>
          </w:p>
        </w:tc>
      </w:tr>
      <w:tr>
        <w:tc>
          <w:tcPr>
            <w:tcW w:type="dxa" w:w="5184"/>
          </w:tcPr>
          <w:p>
            <w:r>
              <w:t>Environment</w:t>
            </w:r>
          </w:p>
        </w:tc>
        <w:tc>
          <w:tcPr>
            <w:tcW w:type="dxa" w:w="5184"/>
          </w:tcPr>
          <w:p>
            <w:r>
              <w:t>Test environment/version</w:t>
            </w:r>
          </w:p>
        </w:tc>
      </w:tr>
      <w:tr>
        <w:tc>
          <w:tcPr>
            <w:tcW w:type="dxa" w:w="5184"/>
          </w:tcPr>
          <w:p>
            <w:r>
              <w:t>E2E</w:t>
            </w:r>
          </w:p>
        </w:tc>
        <w:tc>
          <w:tcPr>
            <w:tcW w:type="dxa" w:w="5184"/>
          </w:tcPr>
          <w:p>
            <w:r>
              <w:t>Scenario list + results</w:t>
            </w:r>
          </w:p>
        </w:tc>
      </w:tr>
      <w:tr>
        <w:tc>
          <w:tcPr>
            <w:tcW w:type="dxa" w:w="5184"/>
          </w:tcPr>
          <w:p>
            <w:r>
              <w:t>Transaction</w:t>
            </w:r>
          </w:p>
        </w:tc>
        <w:tc>
          <w:tcPr>
            <w:tcW w:type="dxa" w:w="5184"/>
          </w:tcPr>
          <w:p>
            <w:r>
              <w:t>Atomicity evidence</w:t>
            </w:r>
          </w:p>
        </w:tc>
      </w:tr>
      <w:tr>
        <w:tc>
          <w:tcPr>
            <w:tcW w:type="dxa" w:w="5184"/>
          </w:tcPr>
          <w:p>
            <w:r>
              <w:t>Notification</w:t>
            </w:r>
          </w:p>
        </w:tc>
        <w:tc>
          <w:tcPr>
            <w:tcW w:type="dxa" w:w="5184"/>
          </w:tcPr>
          <w:p>
            <w:r>
              <w:t>Provider/retry/recovery evidence</w:t>
            </w:r>
          </w:p>
        </w:tc>
      </w:tr>
      <w:tr>
        <w:tc>
          <w:tcPr>
            <w:tcW w:type="dxa" w:w="5184"/>
          </w:tcPr>
          <w:p>
            <w:r>
              <w:t>Security</w:t>
            </w:r>
          </w:p>
        </w:tc>
        <w:tc>
          <w:tcPr>
            <w:tcW w:type="dxa" w:w="5184"/>
          </w:tcPr>
          <w:p>
            <w:r>
              <w:t>Integrated regression results</w:t>
            </w:r>
          </w:p>
        </w:tc>
      </w:tr>
      <w:tr>
        <w:tc>
          <w:tcPr>
            <w:tcW w:type="dxa" w:w="5184"/>
          </w:tcPr>
          <w:p>
            <w:r>
              <w:t>Observability</w:t>
            </w:r>
          </w:p>
        </w:tc>
        <w:tc>
          <w:tcPr>
            <w:tcW w:type="dxa" w:w="5184"/>
          </w:tcPr>
          <w:p>
            <w:r>
              <w:t>Logs/metrics/health evidence</w:t>
            </w:r>
          </w:p>
        </w:tc>
      </w:tr>
      <w:tr>
        <w:tc>
          <w:tcPr>
            <w:tcW w:type="dxa" w:w="5184"/>
          </w:tcPr>
          <w:p>
            <w:r>
              <w:t>Backup</w:t>
            </w:r>
          </w:p>
        </w:tc>
        <w:tc>
          <w:tcPr>
            <w:tcW w:type="dxa" w:w="5184"/>
          </w:tcPr>
          <w:p>
            <w:r>
              <w:t>Restore results</w:t>
            </w:r>
          </w:p>
        </w:tc>
      </w:tr>
      <w:tr>
        <w:tc>
          <w:tcPr>
            <w:tcW w:type="dxa" w:w="5184"/>
          </w:tcPr>
          <w:p>
            <w:r>
              <w:t>Migration</w:t>
            </w:r>
          </w:p>
        </w:tc>
        <w:tc>
          <w:tcPr>
            <w:tcW w:type="dxa" w:w="5184"/>
          </w:tcPr>
          <w:p>
            <w:r>
              <w:t>Rehearsal results</w:t>
            </w:r>
          </w:p>
        </w:tc>
      </w:tr>
      <w:tr>
        <w:tc>
          <w:tcPr>
            <w:tcW w:type="dxa" w:w="5184"/>
          </w:tcPr>
          <w:p>
            <w:r>
              <w:t>Performance</w:t>
            </w:r>
          </w:p>
        </w:tc>
        <w:tc>
          <w:tcPr>
            <w:tcW w:type="dxa" w:w="5184"/>
          </w:tcPr>
          <w:p>
            <w:r>
              <w:t>Load/smoke results</w:t>
            </w:r>
          </w:p>
        </w:tc>
      </w:tr>
      <w:tr>
        <w:tc>
          <w:tcPr>
            <w:tcW w:type="dxa" w:w="5184"/>
          </w:tcPr>
          <w:p>
            <w:r>
              <w:t>Runbooks</w:t>
            </w:r>
          </w:p>
        </w:tc>
        <w:tc>
          <w:tcPr>
            <w:tcW w:type="dxa" w:w="5184"/>
          </w:tcPr>
          <w:p>
            <w:r>
              <w:t>Validation status</w:t>
            </w:r>
          </w:p>
        </w:tc>
      </w:tr>
      <w:tr>
        <w:tc>
          <w:tcPr>
            <w:tcW w:type="dxa" w:w="5184"/>
          </w:tcPr>
          <w:p>
            <w:r>
              <w:t>Risks</w:t>
            </w:r>
          </w:p>
        </w:tc>
        <w:tc>
          <w:tcPr>
            <w:tcW w:type="dxa" w:w="5184"/>
          </w:tcPr>
          <w:p>
            <w:r>
              <w:t>Known gaps</w:t>
            </w:r>
          </w:p>
        </w:tc>
      </w:tr>
      <w:tr>
        <w:tc>
          <w:tcPr>
            <w:tcW w:type="dxa" w:w="5184"/>
          </w:tcPr>
          <w:p>
            <w:r>
              <w:t>Exceptions</w:t>
            </w:r>
          </w:p>
        </w:tc>
        <w:tc>
          <w:tcPr>
            <w:tcW w:type="dxa" w:w="5184"/>
          </w:tcPr>
          <w:p>
            <w:r>
              <w:t>Approved/required</w:t>
            </w:r>
          </w:p>
        </w:tc>
      </w:tr>
      <w:tr>
        <w:tc>
          <w:tcPr>
            <w:tcW w:type="dxa" w:w="5184"/>
          </w:tcPr>
          <w:p>
            <w:r>
              <w:t>Git</w:t>
            </w:r>
          </w:p>
        </w:tc>
        <w:tc>
          <w:tcPr>
            <w:tcW w:type="dxa" w:w="5184"/>
          </w:tcPr>
          <w:p>
            <w:r>
              <w:t>Status/diff/commit state</w:t>
            </w:r>
          </w:p>
        </w:tc>
      </w:tr>
      <w:tr>
        <w:tc>
          <w:tcPr>
            <w:tcW w:type="dxa" w:w="5184"/>
          </w:tcPr>
          <w:p>
            <w:r>
              <w:t>Next</w:t>
            </w:r>
          </w:p>
        </w:tc>
        <w:tc>
          <w:tcPr>
            <w:tcW w:type="dxa" w:w="5184"/>
          </w:tcPr>
          <w:p>
            <w:r>
              <w:t>M7 Production Readiness</w:t>
            </w:r>
          </w:p>
        </w:tc>
      </w:tr>
    </w:tbl>
    <w:p>
      <w:pPr>
        <w:pStyle w:val="Heading1"/>
      </w:pPr>
      <w:r>
        <w:t>28. Governance Statement</w:t>
      </w:r>
    </w:p>
    <w:p>
      <w:r>
        <w:rPr>
          <w:b/>
        </w:rPr>
        <w:t>M6 is the integrated-system proving ground. A component can pass its own tests and still fail as a product; M6 closes that gap. The milestone must demonstrate correct behavior, secure boundaries, recoverability and operational visibility before production-readiness work begins.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