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TDA-SEC-001 — Security &amp; Privacy Architecture</w:t>
      </w:r>
    </w:p>
    <w:p>
      <w:pPr>
        <w:jc w:val="center"/>
      </w:pPr>
      <w:r>
        <w:rPr>
          <w:b/>
          <w:i w:val="0"/>
          <w:sz w:val="22"/>
        </w:rPr>
        <w:t>Version 1.0 | Status: REVIEW | 14 August 2026</w:t>
      </w:r>
    </w:p>
    <w:p>
      <w:pPr>
        <w:jc w:val="center"/>
      </w:pPr>
      <w:r>
        <w:rPr>
          <w:b w:val="0"/>
          <w:i/>
          <w:sz w:val="19"/>
        </w:rPr>
        <w:t>Cross-cutting security, privacy, tenant isolation, access control and data protection contract</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TDA-SEC-001</w:t>
            </w:r>
          </w:p>
        </w:tc>
      </w:tr>
      <w:tr>
        <w:tc>
          <w:tcPr>
            <w:tcW w:type="dxa" w:w="5184"/>
          </w:tcPr>
          <w:p>
            <w:r>
              <w:t>Volume</w:t>
            </w:r>
          </w:p>
        </w:tc>
        <w:tc>
          <w:tcPr>
            <w:tcW w:type="dxa" w:w="5184"/>
          </w:tcPr>
          <w:p>
            <w:r>
              <w:t>07 — Security &amp; Privacy</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Architecture Source</w:t>
            </w:r>
          </w:p>
        </w:tc>
        <w:tc>
          <w:tcPr>
            <w:tcW w:type="dxa" w:w="5184"/>
          </w:tcPr>
          <w:p>
            <w:r>
              <w:t>TDA-TDD-001 + TDA-API-001</w:t>
            </w:r>
          </w:p>
        </w:tc>
      </w:tr>
      <w:tr>
        <w:tc>
          <w:tcPr>
            <w:tcW w:type="dxa" w:w="5184"/>
          </w:tcPr>
          <w:p>
            <w:r>
              <w:t>Domain Sources</w:t>
            </w:r>
          </w:p>
        </w:tc>
        <w:tc>
          <w:tcPr>
            <w:tcW w:type="dxa" w:w="5184"/>
          </w:tcPr>
          <w:p>
            <w:r>
              <w:t>Patient / Appointment / Notification specifications</w:t>
            </w:r>
          </w:p>
        </w:tc>
      </w:tr>
      <w:tr>
        <w:tc>
          <w:tcPr>
            <w:tcW w:type="dxa" w:w="5184"/>
          </w:tcPr>
          <w:p>
            <w:r>
              <w:t>Database Sources</w:t>
            </w:r>
          </w:p>
        </w:tc>
        <w:tc>
          <w:tcPr>
            <w:tcW w:type="dxa" w:w="5184"/>
          </w:tcPr>
          <w:p>
            <w:r>
              <w:t>Patient / Appointment / Notification DDDs</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bl>
    <w:p>
      <w:pPr>
        <w:pStyle w:val="Heading1"/>
      </w:pPr>
      <w:r>
        <w:t>2. Purpose &amp; Security Objectives</w:t>
      </w:r>
    </w:p>
    <w:p>
      <w:r>
        <w:t>This document establishes the security and privacy architecture for DentalCare AI. It protects patient information, appointment data, authentication credentials, notification data, audit evidence and tenant boundaries while preserving availability and operational traceability.</w:t>
      </w:r>
    </w:p>
    <w:p>
      <w:pPr>
        <w:pStyle w:val="ListBullet"/>
      </w:pPr>
      <w:r>
        <w:t>Confidentiality — prevent unauthorized disclosure.</w:t>
      </w:r>
    </w:p>
    <w:p>
      <w:pPr>
        <w:pStyle w:val="ListBullet"/>
      </w:pPr>
      <w:r>
        <w:t>Integrity — prevent unauthorized or accidental modification.</w:t>
      </w:r>
    </w:p>
    <w:p>
      <w:pPr>
        <w:pStyle w:val="ListBullet"/>
      </w:pPr>
      <w:r>
        <w:t>Availability — maintain safe service operation and recoverability.</w:t>
      </w:r>
    </w:p>
    <w:p>
      <w:pPr>
        <w:pStyle w:val="ListBullet"/>
      </w:pPr>
      <w:r>
        <w:t>Accountability — make security-relevant actions traceable.</w:t>
      </w:r>
    </w:p>
    <w:p>
      <w:pPr>
        <w:pStyle w:val="ListBullet"/>
      </w:pPr>
      <w:r>
        <w:t>Privacy by design — collect, expose and retain only what is necessary.</w:t>
      </w:r>
    </w:p>
    <w:p>
      <w:pPr>
        <w:pStyle w:val="ListBullet"/>
      </w:pPr>
      <w:r>
        <w:t>Defense in depth — no single control is treated as sufficient.</w:t>
      </w:r>
    </w:p>
    <w:p>
      <w:pPr>
        <w:pStyle w:val="Heading1"/>
      </w:pPr>
      <w:r>
        <w:t>3. Security Architecture</w:t>
      </w:r>
    </w:p>
    <w:p>
      <w:r>
        <w:rPr>
          <w:b/>
        </w:rPr>
        <w:t>Client → TLS → API Gateway/Edge → Authentication → Authorization → Application Services → Database</w:t>
      </w:r>
    </w:p>
    <w:p>
      <w:pPr>
        <w:pStyle w:val="ListBullet"/>
      </w:pPr>
      <w:r>
        <w:t>External providers are isolated behind controlled adapters.</w:t>
      </w:r>
    </w:p>
    <w:p>
      <w:pPr>
        <w:pStyle w:val="ListBullet"/>
      </w:pPr>
      <w:r>
        <w:t>Workers use service identities and least privilege.</w:t>
      </w:r>
    </w:p>
    <w:p>
      <w:pPr>
        <w:pStyle w:val="ListBullet"/>
      </w:pPr>
      <w:r>
        <w:t>Secrets are stored in a secure secret-management mechanism, never source code.</w:t>
      </w:r>
    </w:p>
    <w:p>
      <w:pPr>
        <w:pStyle w:val="ListBullet"/>
      </w:pPr>
      <w:r>
        <w:t>Administrative functions have stronger authorization and audit requirements.</w:t>
      </w:r>
    </w:p>
    <w:p>
      <w:pPr>
        <w:pStyle w:val="Heading1"/>
      </w:pPr>
      <w:r>
        <w:t>4. Threat Model</w:t>
      </w:r>
    </w:p>
    <w:tbl>
      <w:tblPr>
        <w:tblStyle w:val="TableGrid"/>
        <w:tblW w:type="auto" w:w="0"/>
        <w:tblLook w:firstColumn="1" w:firstRow="1" w:lastColumn="0" w:lastRow="0" w:noHBand="0" w:noVBand="1" w:val="04A0"/>
      </w:tblPr>
      <w:tblGrid>
        <w:gridCol w:w="3456"/>
        <w:gridCol w:w="3456"/>
        <w:gridCol w:w="3456"/>
      </w:tblGrid>
      <w:tr>
        <w:tc>
          <w:tcPr>
            <w:tcW w:type="dxa" w:w="3456"/>
          </w:tcPr>
          <w:p>
            <w:r>
              <w:t>Threat</w:t>
            </w:r>
          </w:p>
        </w:tc>
        <w:tc>
          <w:tcPr>
            <w:tcW w:type="dxa" w:w="3456"/>
          </w:tcPr>
          <w:p>
            <w:r>
              <w:t>Primary Control</w:t>
            </w:r>
          </w:p>
        </w:tc>
        <w:tc>
          <w:tcPr>
            <w:tcW w:type="dxa" w:w="3456"/>
          </w:tcPr>
          <w:p>
            <w:r>
              <w:t>Test</w:t>
            </w:r>
          </w:p>
        </w:tc>
      </w:tr>
      <w:tr>
        <w:tc>
          <w:tcPr>
            <w:tcW w:type="dxa" w:w="3456"/>
          </w:tcPr>
          <w:p>
            <w:r>
              <w:t>Credential theft</w:t>
            </w:r>
          </w:p>
        </w:tc>
        <w:tc>
          <w:tcPr>
            <w:tcW w:type="dxa" w:w="3456"/>
          </w:tcPr>
          <w:p>
            <w:r>
              <w:t>Secure authentication, token/session controls, MFA where applicable</w:t>
            </w:r>
          </w:p>
        </w:tc>
        <w:tc>
          <w:tcPr>
            <w:tcW w:type="dxa" w:w="3456"/>
          </w:tcPr>
          <w:p>
            <w:r>
              <w:t>AUTH-SEC-*</w:t>
            </w:r>
          </w:p>
        </w:tc>
      </w:tr>
      <w:tr>
        <w:tc>
          <w:tcPr>
            <w:tcW w:type="dxa" w:w="3456"/>
          </w:tcPr>
          <w:p>
            <w:r>
              <w:t>BOLA/IDOR</w:t>
            </w:r>
          </w:p>
        </w:tc>
        <w:tc>
          <w:tcPr>
            <w:tcW w:type="dxa" w:w="3456"/>
          </w:tcPr>
          <w:p>
            <w:r>
              <w:t>Object-level authorization</w:t>
            </w:r>
          </w:p>
        </w:tc>
        <w:tc>
          <w:tcPr>
            <w:tcW w:type="dxa" w:w="3456"/>
          </w:tcPr>
          <w:p>
            <w:r>
              <w:t>BOLA-*</w:t>
            </w:r>
          </w:p>
        </w:tc>
      </w:tr>
      <w:tr>
        <w:tc>
          <w:tcPr>
            <w:tcW w:type="dxa" w:w="3456"/>
          </w:tcPr>
          <w:p>
            <w:r>
              <w:t>Cross-tenant access</w:t>
            </w:r>
          </w:p>
        </w:tc>
        <w:tc>
          <w:tcPr>
            <w:tcW w:type="dxa" w:w="3456"/>
          </w:tcPr>
          <w:p>
            <w:r>
              <w:t>Server-derived tenant context + DB filtering</w:t>
            </w:r>
          </w:p>
        </w:tc>
        <w:tc>
          <w:tcPr>
            <w:tcW w:type="dxa" w:w="3456"/>
          </w:tcPr>
          <w:p>
            <w:r>
              <w:t>TENANT-*</w:t>
            </w:r>
          </w:p>
        </w:tc>
      </w:tr>
      <w:tr>
        <w:tc>
          <w:tcPr>
            <w:tcW w:type="dxa" w:w="3456"/>
          </w:tcPr>
          <w:p>
            <w:r>
              <w:t>SQL injection</w:t>
            </w:r>
          </w:p>
        </w:tc>
        <w:tc>
          <w:tcPr>
            <w:tcW w:type="dxa" w:w="3456"/>
          </w:tcPr>
          <w:p>
            <w:r>
              <w:t>Parameterized queries/ORM safeguards</w:t>
            </w:r>
          </w:p>
        </w:tc>
        <w:tc>
          <w:tcPr>
            <w:tcW w:type="dxa" w:w="3456"/>
          </w:tcPr>
          <w:p>
            <w:r>
              <w:t>INJ-*</w:t>
            </w:r>
          </w:p>
        </w:tc>
      </w:tr>
      <w:tr>
        <w:tc>
          <w:tcPr>
            <w:tcW w:type="dxa" w:w="3456"/>
          </w:tcPr>
          <w:p>
            <w:r>
              <w:t>Mass assignment</w:t>
            </w:r>
          </w:p>
        </w:tc>
        <w:tc>
          <w:tcPr>
            <w:tcW w:type="dxa" w:w="3456"/>
          </w:tcPr>
          <w:p>
            <w:r>
              <w:t>Explicit DTO allowlists</w:t>
            </w:r>
          </w:p>
        </w:tc>
        <w:tc>
          <w:tcPr>
            <w:tcW w:type="dxa" w:w="3456"/>
          </w:tcPr>
          <w:p>
            <w:r>
              <w:t>MASS-*</w:t>
            </w:r>
          </w:p>
        </w:tc>
      </w:tr>
      <w:tr>
        <w:tc>
          <w:tcPr>
            <w:tcW w:type="dxa" w:w="3456"/>
          </w:tcPr>
          <w:p>
            <w:r>
              <w:t>Sensitive data leakage</w:t>
            </w:r>
          </w:p>
        </w:tc>
        <w:tc>
          <w:tcPr>
            <w:tcW w:type="dxa" w:w="3456"/>
          </w:tcPr>
          <w:p>
            <w:r>
              <w:t>Field minimization, logging controls</w:t>
            </w:r>
          </w:p>
        </w:tc>
        <w:tc>
          <w:tcPr>
            <w:tcW w:type="dxa" w:w="3456"/>
          </w:tcPr>
          <w:p>
            <w:r>
              <w:t>PRIV-*</w:t>
            </w:r>
          </w:p>
        </w:tc>
      </w:tr>
      <w:tr>
        <w:tc>
          <w:tcPr>
            <w:tcW w:type="dxa" w:w="3456"/>
          </w:tcPr>
          <w:p>
            <w:r>
              <w:t>Webhook spoofing</w:t>
            </w:r>
          </w:p>
        </w:tc>
        <w:tc>
          <w:tcPr>
            <w:tcW w:type="dxa" w:w="3456"/>
          </w:tcPr>
          <w:p>
            <w:r>
              <w:t>Signature/authentication + replay protection</w:t>
            </w:r>
          </w:p>
        </w:tc>
        <w:tc>
          <w:tcPr>
            <w:tcW w:type="dxa" w:w="3456"/>
          </w:tcPr>
          <w:p>
            <w:r>
              <w:t>WEBHOOK-*</w:t>
            </w:r>
          </w:p>
        </w:tc>
      </w:tr>
      <w:tr>
        <w:tc>
          <w:tcPr>
            <w:tcW w:type="dxa" w:w="3456"/>
          </w:tcPr>
          <w:p>
            <w:r>
              <w:t>Duplicate notification</w:t>
            </w:r>
          </w:p>
        </w:tc>
        <w:tc>
          <w:tcPr>
            <w:tcW w:type="dxa" w:w="3456"/>
          </w:tcPr>
          <w:p>
            <w:r>
              <w:t>Idempotency/outbox/provider keys</w:t>
            </w:r>
          </w:p>
        </w:tc>
        <w:tc>
          <w:tcPr>
            <w:tcW w:type="dxa" w:w="3456"/>
          </w:tcPr>
          <w:p>
            <w:r>
              <w:t>NOTIF-IDEM-*</w:t>
            </w:r>
          </w:p>
        </w:tc>
      </w:tr>
      <w:tr>
        <w:tc>
          <w:tcPr>
            <w:tcW w:type="dxa" w:w="3456"/>
          </w:tcPr>
          <w:p>
            <w:r>
              <w:t>Race conditions</w:t>
            </w:r>
          </w:p>
        </w:tc>
        <w:tc>
          <w:tcPr>
            <w:tcW w:type="dxa" w:w="3456"/>
          </w:tcPr>
          <w:p>
            <w:r>
              <w:t>Transactions, locking, optimistic concurrency</w:t>
            </w:r>
          </w:p>
        </w:tc>
        <w:tc>
          <w:tcPr>
            <w:tcW w:type="dxa" w:w="3456"/>
          </w:tcPr>
          <w:p>
            <w:r>
              <w:t>CONC-*</w:t>
            </w:r>
          </w:p>
        </w:tc>
      </w:tr>
      <w:tr>
        <w:tc>
          <w:tcPr>
            <w:tcW w:type="dxa" w:w="3456"/>
          </w:tcPr>
          <w:p>
            <w:r>
              <w:t>Secret leakage</w:t>
            </w:r>
          </w:p>
        </w:tc>
        <w:tc>
          <w:tcPr>
            <w:tcW w:type="dxa" w:w="3456"/>
          </w:tcPr>
          <w:p>
            <w:r>
              <w:t>Secret manager + scanning</w:t>
            </w:r>
          </w:p>
        </w:tc>
        <w:tc>
          <w:tcPr>
            <w:tcW w:type="dxa" w:w="3456"/>
          </w:tcPr>
          <w:p>
            <w:r>
              <w:t>SECRET-*</w:t>
            </w:r>
          </w:p>
        </w:tc>
      </w:tr>
      <w:tr>
        <w:tc>
          <w:tcPr>
            <w:tcW w:type="dxa" w:w="3456"/>
          </w:tcPr>
          <w:p>
            <w:r>
              <w:t>Abuse/rate attacks</w:t>
            </w:r>
          </w:p>
        </w:tc>
        <w:tc>
          <w:tcPr>
            <w:tcW w:type="dxa" w:w="3456"/>
          </w:tcPr>
          <w:p>
            <w:r>
              <w:t>Rate limiting + monitoring</w:t>
            </w:r>
          </w:p>
        </w:tc>
        <w:tc>
          <w:tcPr>
            <w:tcW w:type="dxa" w:w="3456"/>
          </w:tcPr>
          <w:p>
            <w:r>
              <w:t>RATE-*</w:t>
            </w:r>
          </w:p>
        </w:tc>
      </w:tr>
      <w:tr>
        <w:tc>
          <w:tcPr>
            <w:tcW w:type="dxa" w:w="3456"/>
          </w:tcPr>
          <w:p>
            <w:r>
              <w:t>Backup compromise</w:t>
            </w:r>
          </w:p>
        </w:tc>
        <w:tc>
          <w:tcPr>
            <w:tcW w:type="dxa" w:w="3456"/>
          </w:tcPr>
          <w:p>
            <w:r>
              <w:t>Encryption/access controls</w:t>
            </w:r>
          </w:p>
        </w:tc>
        <w:tc>
          <w:tcPr>
            <w:tcW w:type="dxa" w:w="3456"/>
          </w:tcPr>
          <w:p>
            <w:r>
              <w:t>BACKUP-*</w:t>
            </w:r>
          </w:p>
        </w:tc>
      </w:tr>
    </w:tbl>
    <w:p>
      <w:pPr>
        <w:pStyle w:val="Heading1"/>
      </w:pPr>
      <w:r>
        <w:t>5. Identity &amp; Authentication</w:t>
      </w:r>
    </w:p>
    <w:p>
      <w:pPr>
        <w:pStyle w:val="ListBullet"/>
      </w:pPr>
      <w:r>
        <w:t>Protected APIs require authenticated identity unless explicitly documented as public.</w:t>
      </w:r>
    </w:p>
    <w:p>
      <w:pPr>
        <w:pStyle w:val="ListBullet"/>
      </w:pPr>
      <w:r>
        <w:t>Authentication mechanism is governed by the Foundation/Identity architecture.</w:t>
      </w:r>
    </w:p>
    <w:p>
      <w:pPr>
        <w:pStyle w:val="ListBullet"/>
      </w:pPr>
      <w:r>
        <w:t>Passwords, tokens and recovery secrets must never be stored or logged in plaintext.</w:t>
      </w:r>
    </w:p>
    <w:p>
      <w:pPr>
        <w:pStyle w:val="ListBullet"/>
      </w:pPr>
      <w:r>
        <w:t>Session/token expiration, revocation and rotation must follow the approved identity design.</w:t>
      </w:r>
    </w:p>
    <w:p>
      <w:pPr>
        <w:pStyle w:val="ListBullet"/>
      </w:pPr>
      <w:r>
        <w:t>High-risk administrative operations should support stronger authentication such as MFA where the selected identity platform permits.</w:t>
      </w:r>
    </w:p>
    <w:p>
      <w:pPr>
        <w:pStyle w:val="ListBullet"/>
      </w:pPr>
      <w:r>
        <w:t>Authentication failures must not disclose whether a sensitive account/resource exists.</w:t>
      </w:r>
    </w:p>
    <w:p>
      <w:pPr>
        <w:pStyle w:val="Heading1"/>
      </w:pPr>
      <w:r>
        <w:t>6. Authorization &amp; RBAC</w:t>
      </w:r>
    </w:p>
    <w:tbl>
      <w:tblPr>
        <w:tblStyle w:val="TableGrid"/>
        <w:tblW w:type="auto" w:w="0"/>
        <w:tblLook w:firstColumn="1" w:firstRow="1" w:lastColumn="0" w:lastRow="0" w:noHBand="0" w:noVBand="1" w:val="04A0"/>
      </w:tblPr>
      <w:tblGrid>
        <w:gridCol w:w="3456"/>
        <w:gridCol w:w="3456"/>
        <w:gridCol w:w="3456"/>
      </w:tblGrid>
      <w:tr>
        <w:tc>
          <w:tcPr>
            <w:tcW w:type="dxa" w:w="3456"/>
          </w:tcPr>
          <w:p>
            <w:r>
              <w:t>Role Category</w:t>
            </w:r>
          </w:p>
        </w:tc>
        <w:tc>
          <w:tcPr>
            <w:tcW w:type="dxa" w:w="3456"/>
          </w:tcPr>
          <w:p>
            <w:r>
              <w:t>Typical Scope</w:t>
            </w:r>
          </w:p>
        </w:tc>
        <w:tc>
          <w:tcPr>
            <w:tcW w:type="dxa" w:w="3456"/>
          </w:tcPr>
          <w:p>
            <w:r>
              <w:t>High-level Capabilities</w:t>
            </w:r>
          </w:p>
        </w:tc>
      </w:tr>
      <w:tr>
        <w:tc>
          <w:tcPr>
            <w:tcW w:type="dxa" w:w="3456"/>
          </w:tcPr>
          <w:p>
            <w:r>
              <w:t>Patient</w:t>
            </w:r>
          </w:p>
        </w:tc>
        <w:tc>
          <w:tcPr>
            <w:tcW w:type="dxa" w:w="3456"/>
          </w:tcPr>
          <w:p>
            <w:r>
              <w:t>Own records</w:t>
            </w:r>
          </w:p>
        </w:tc>
        <w:tc>
          <w:tcPr>
            <w:tcW w:type="dxa" w:w="3456"/>
          </w:tcPr>
          <w:p>
            <w:r>
              <w:t>Own profile/authorized appointments/preferences</w:t>
            </w:r>
          </w:p>
        </w:tc>
      </w:tr>
      <w:tr>
        <w:tc>
          <w:tcPr>
            <w:tcW w:type="dxa" w:w="3456"/>
          </w:tcPr>
          <w:p>
            <w:r>
              <w:t>Reception/Staff</w:t>
            </w:r>
          </w:p>
        </w:tc>
        <w:tc>
          <w:tcPr>
            <w:tcW w:type="dxa" w:w="3456"/>
          </w:tcPr>
          <w:p>
            <w:r>
              <w:t>Organization/branch</w:t>
            </w:r>
          </w:p>
        </w:tc>
        <w:tc>
          <w:tcPr>
            <w:tcW w:type="dxa" w:w="3456"/>
          </w:tcPr>
          <w:p>
            <w:r>
              <w:t>Patient registration, scheduling, operational appointment actions</w:t>
            </w:r>
          </w:p>
        </w:tc>
      </w:tr>
      <w:tr>
        <w:tc>
          <w:tcPr>
            <w:tcW w:type="dxa" w:w="3456"/>
          </w:tcPr>
          <w:p>
            <w:r>
              <w:t>Practitioner</w:t>
            </w:r>
          </w:p>
        </w:tc>
        <w:tc>
          <w:tcPr>
            <w:tcW w:type="dxa" w:w="3456"/>
          </w:tcPr>
          <w:p>
            <w:r>
              <w:t>Organization/authorized clinical scope</w:t>
            </w:r>
          </w:p>
        </w:tc>
        <w:tc>
          <w:tcPr>
            <w:tcW w:type="dxa" w:w="3456"/>
          </w:tcPr>
          <w:p>
            <w:r>
              <w:t>Appointment lifecycle and authorized patient access</w:t>
            </w:r>
          </w:p>
        </w:tc>
      </w:tr>
      <w:tr>
        <w:tc>
          <w:tcPr>
            <w:tcW w:type="dxa" w:w="3456"/>
          </w:tcPr>
          <w:p>
            <w:r>
              <w:t>Administrator</w:t>
            </w:r>
          </w:p>
        </w:tc>
        <w:tc>
          <w:tcPr>
            <w:tcW w:type="dxa" w:w="3456"/>
          </w:tcPr>
          <w:p>
            <w:r>
              <w:t>Organization/platform as approved</w:t>
            </w:r>
          </w:p>
        </w:tc>
        <w:tc>
          <w:tcPr>
            <w:tcW w:type="dxa" w:w="3456"/>
          </w:tcPr>
          <w:p>
            <w:r>
              <w:t>Configuration, privileged operations, audit/support</w:t>
            </w:r>
          </w:p>
        </w:tc>
      </w:tr>
      <w:tr>
        <w:tc>
          <w:tcPr>
            <w:tcW w:type="dxa" w:w="3456"/>
          </w:tcPr>
          <w:p>
            <w:r>
              <w:t>Worker Service</w:t>
            </w:r>
          </w:p>
        </w:tc>
        <w:tc>
          <w:tcPr>
            <w:tcW w:type="dxa" w:w="3456"/>
          </w:tcPr>
          <w:p>
            <w:r>
              <w:t>Specific internal workload</w:t>
            </w:r>
          </w:p>
        </w:tc>
        <w:tc>
          <w:tcPr>
            <w:tcW w:type="dxa" w:w="3456"/>
          </w:tcPr>
          <w:p>
            <w:r>
              <w:t>Notification processing only</w:t>
            </w:r>
          </w:p>
        </w:tc>
      </w:tr>
    </w:tbl>
    <w:p>
      <w:pPr>
        <w:pStyle w:val="ListBullet"/>
      </w:pPr>
      <w:r>
        <w:t>Authorization is deny-by-default.</w:t>
      </w:r>
    </w:p>
    <w:p>
      <w:pPr>
        <w:pStyle w:val="ListBullet"/>
      </w:pPr>
      <w:r>
        <w:t>Permissions are checked server-side on every protected operation.</w:t>
      </w:r>
    </w:p>
    <w:p>
      <w:pPr>
        <w:pStyle w:val="ListBullet"/>
      </w:pPr>
      <w:r>
        <w:t>Role membership alone is insufficient when resource-level scope applies.</w:t>
      </w:r>
    </w:p>
    <w:p>
      <w:pPr>
        <w:pStyle w:val="ListBullet"/>
      </w:pPr>
      <w:r>
        <w:t>Client-supplied organization_id is never trusted as the authorization decision.</w:t>
      </w:r>
    </w:p>
    <w:p>
      <w:pPr>
        <w:pStyle w:val="Heading1"/>
      </w:pPr>
      <w:r>
        <w:t>7. Tenant Isolation</w:t>
      </w:r>
    </w:p>
    <w:p>
      <w:pPr>
        <w:pStyle w:val="ListBullet"/>
      </w:pPr>
      <w:r>
        <w:t>Tenant/organization context is derived from authenticated identity or trusted service context.</w:t>
      </w:r>
    </w:p>
    <w:p>
      <w:pPr>
        <w:pStyle w:val="ListBullet"/>
      </w:pPr>
      <w:r>
        <w:t>Every tenant-owned query includes tenant authorization.</w:t>
      </w:r>
    </w:p>
    <w:p>
      <w:pPr>
        <w:pStyle w:val="ListBullet"/>
      </w:pPr>
      <w:r>
        <w:t>Every tenant-owned resource lookup performs object-level authorization.</w:t>
      </w:r>
    </w:p>
    <w:p>
      <w:pPr>
        <w:pStyle w:val="ListBullet"/>
      </w:pPr>
      <w:r>
        <w:t>Foreign-key relationships must prevent cross-tenant references where possible.</w:t>
      </w:r>
    </w:p>
    <w:p>
      <w:pPr>
        <w:pStyle w:val="ListBullet"/>
      </w:pPr>
      <w:r>
        <w:t>Background workers process tenant context explicitly.</w:t>
      </w:r>
    </w:p>
    <w:p>
      <w:pPr>
        <w:pStyle w:val="ListBullet"/>
      </w:pPr>
      <w:r>
        <w:t>Cross-tenant access tests are mandatory for every resource endpoint.</w:t>
      </w:r>
    </w:p>
    <w:p>
      <w:pPr>
        <w:pStyle w:val="Heading1"/>
      </w:pPr>
      <w:r>
        <w:t>8. Patient Data Classification</w:t>
      </w:r>
    </w:p>
    <w:tbl>
      <w:tblPr>
        <w:tblStyle w:val="TableGrid"/>
        <w:tblW w:type="auto" w:w="0"/>
        <w:tblLook w:firstColumn="1" w:firstRow="1" w:lastColumn="0" w:lastRow="0" w:noHBand="0" w:noVBand="1" w:val="04A0"/>
      </w:tblPr>
      <w:tblGrid>
        <w:gridCol w:w="3456"/>
        <w:gridCol w:w="3456"/>
        <w:gridCol w:w="3456"/>
      </w:tblGrid>
      <w:tr>
        <w:tc>
          <w:tcPr>
            <w:tcW w:type="dxa" w:w="3456"/>
          </w:tcPr>
          <w:p>
            <w:r>
              <w:t>Data Class</w:t>
            </w:r>
          </w:p>
        </w:tc>
        <w:tc>
          <w:tcPr>
            <w:tcW w:type="dxa" w:w="3456"/>
          </w:tcPr>
          <w:p>
            <w:r>
              <w:t>Examples</w:t>
            </w:r>
          </w:p>
        </w:tc>
        <w:tc>
          <w:tcPr>
            <w:tcW w:type="dxa" w:w="3456"/>
          </w:tcPr>
          <w:p>
            <w:r>
              <w:t>Default Handling</w:t>
            </w:r>
          </w:p>
        </w:tc>
      </w:tr>
      <w:tr>
        <w:tc>
          <w:tcPr>
            <w:tcW w:type="dxa" w:w="3456"/>
          </w:tcPr>
          <w:p>
            <w:r>
              <w:t>Restricted</w:t>
            </w:r>
          </w:p>
        </w:tc>
        <w:tc>
          <w:tcPr>
            <w:tcW w:type="dxa" w:w="3456"/>
          </w:tcPr>
          <w:p>
            <w:r>
              <w:t>Identity/contact details, date of birth, patient identifiers</w:t>
            </w:r>
          </w:p>
        </w:tc>
        <w:tc>
          <w:tcPr>
            <w:tcW w:type="dxa" w:w="3456"/>
          </w:tcPr>
          <w:p>
            <w:r>
              <w:t>Strong access control; minimize exposure</w:t>
            </w:r>
          </w:p>
        </w:tc>
      </w:tr>
      <w:tr>
        <w:tc>
          <w:tcPr>
            <w:tcW w:type="dxa" w:w="3456"/>
          </w:tcPr>
          <w:p>
            <w:r>
              <w:t>Sensitive Operational</w:t>
            </w:r>
          </w:p>
        </w:tc>
        <w:tc>
          <w:tcPr>
            <w:tcW w:type="dxa" w:w="3456"/>
          </w:tcPr>
          <w:p>
            <w:r>
              <w:t>Appointment details, preferences, notification data</w:t>
            </w:r>
          </w:p>
        </w:tc>
        <w:tc>
          <w:tcPr>
            <w:tcW w:type="dxa" w:w="3456"/>
          </w:tcPr>
          <w:p>
            <w:r>
              <w:t>Role/object authorization; audit material access/mutations</w:t>
            </w:r>
          </w:p>
        </w:tc>
      </w:tr>
      <w:tr>
        <w:tc>
          <w:tcPr>
            <w:tcW w:type="dxa" w:w="3456"/>
          </w:tcPr>
          <w:p>
            <w:r>
              <w:t>Security Sensitive</w:t>
            </w:r>
          </w:p>
        </w:tc>
        <w:tc>
          <w:tcPr>
            <w:tcW w:type="dxa" w:w="3456"/>
          </w:tcPr>
          <w:p>
            <w:r>
              <w:t>Credentials, tokens, provider secrets</w:t>
            </w:r>
          </w:p>
        </w:tc>
        <w:tc>
          <w:tcPr>
            <w:tcW w:type="dxa" w:w="3456"/>
          </w:tcPr>
          <w:p>
            <w:r>
              <w:t>Secret manager; never ordinary API response</w:t>
            </w:r>
          </w:p>
        </w:tc>
      </w:tr>
      <w:tr>
        <w:tc>
          <w:tcPr>
            <w:tcW w:type="dxa" w:w="3456"/>
          </w:tcPr>
          <w:p>
            <w:r>
              <w:t>Audit Evidence</w:t>
            </w:r>
          </w:p>
        </w:tc>
        <w:tc>
          <w:tcPr>
            <w:tcW w:type="dxa" w:w="3456"/>
          </w:tcPr>
          <w:p>
            <w:r>
              <w:t>Actor/action/time/correlation</w:t>
            </w:r>
          </w:p>
        </w:tc>
        <w:tc>
          <w:tcPr>
            <w:tcW w:type="dxa" w:w="3456"/>
          </w:tcPr>
          <w:p>
            <w:r>
              <w:t>Immutable/controlled access; retention policy</w:t>
            </w:r>
          </w:p>
        </w:tc>
      </w:tr>
      <w:tr>
        <w:tc>
          <w:tcPr>
            <w:tcW w:type="dxa" w:w="3456"/>
          </w:tcPr>
          <w:p>
            <w:r>
              <w:t>Public/Non-sensitive</w:t>
            </w:r>
          </w:p>
        </w:tc>
        <w:tc>
          <w:tcPr>
            <w:tcW w:type="dxa" w:w="3456"/>
          </w:tcPr>
          <w:p>
            <w:r>
              <w:t>System documentation metadata</w:t>
            </w:r>
          </w:p>
        </w:tc>
        <w:tc>
          <w:tcPr>
            <w:tcW w:type="dxa" w:w="3456"/>
          </w:tcPr>
          <w:p>
            <w:r>
              <w:t>Normal controls</w:t>
            </w:r>
          </w:p>
        </w:tc>
      </w:tr>
    </w:tbl>
    <w:p>
      <w:pPr>
        <w:pStyle w:val="Heading1"/>
      </w:pPr>
      <w:r>
        <w:t>9. Data Minimization</w:t>
      </w:r>
    </w:p>
    <w:p>
      <w:pPr>
        <w:pStyle w:val="ListBullet"/>
      </w:pPr>
      <w:r>
        <w:t>Collect only fields required for the documented workflow.</w:t>
      </w:r>
    </w:p>
    <w:p>
      <w:pPr>
        <w:pStyle w:val="ListBullet"/>
      </w:pPr>
      <w:r>
        <w:t>Do not duplicate patient data across appointment/notification tables unnecessarily.</w:t>
      </w:r>
    </w:p>
    <w:p>
      <w:pPr>
        <w:pStyle w:val="ListBullet"/>
      </w:pPr>
      <w:r>
        <w:t>Notification payloads should use references or minimal rendering data.</w:t>
      </w:r>
    </w:p>
    <w:p>
      <w:pPr>
        <w:pStyle w:val="ListBullet"/>
      </w:pPr>
      <w:r>
        <w:t>API list endpoints return less data than detail endpoints.</w:t>
      </w:r>
    </w:p>
    <w:p>
      <w:pPr>
        <w:pStyle w:val="ListBullet"/>
      </w:pPr>
      <w:r>
        <w:t>Logs exclude patient message bodies and unnecessary identifiers.</w:t>
      </w:r>
    </w:p>
    <w:p>
      <w:pPr>
        <w:pStyle w:val="Heading1"/>
      </w:pPr>
      <w:r>
        <w:t>10. Encryption</w:t>
      </w:r>
    </w:p>
    <w:p>
      <w:pPr>
        <w:pStyle w:val="ListBullet"/>
      </w:pPr>
      <w:r>
        <w:t>Production network traffic uses TLS.</w:t>
      </w:r>
    </w:p>
    <w:p>
      <w:pPr>
        <w:pStyle w:val="ListBullet"/>
      </w:pPr>
      <w:r>
        <w:t>Sensitive data at rest is protected using platform/database encryption capabilities.</w:t>
      </w:r>
    </w:p>
    <w:p>
      <w:pPr>
        <w:pStyle w:val="ListBullet"/>
      </w:pPr>
      <w:r>
        <w:t>Backups are encrypted.</w:t>
      </w:r>
    </w:p>
    <w:p>
      <w:pPr>
        <w:pStyle w:val="ListBullet"/>
      </w:pPr>
      <w:r>
        <w:t>Secrets use dedicated secret-management facilities.</w:t>
      </w:r>
    </w:p>
    <w:p>
      <w:pPr>
        <w:pStyle w:val="ListBullet"/>
      </w:pPr>
      <w:r>
        <w:t>Encryption keys are separated from application source and rotated according to operational policy.</w:t>
      </w:r>
    </w:p>
    <w:p>
      <w:pPr>
        <w:pStyle w:val="Heading1"/>
      </w:pPr>
      <w:r>
        <w:t>11. API Security</w:t>
      </w:r>
    </w:p>
    <w:p>
      <w:pPr>
        <w:pStyle w:val="ListBullet"/>
      </w:pPr>
      <w:r>
        <w:t>Use HTTPS in production.</w:t>
      </w:r>
    </w:p>
    <w:p>
      <w:pPr>
        <w:pStyle w:val="ListBullet"/>
      </w:pPr>
      <w:r>
        <w:t>Validate Content-Type and request size.</w:t>
      </w:r>
    </w:p>
    <w:p>
      <w:pPr>
        <w:pStyle w:val="ListBullet"/>
      </w:pPr>
      <w:r>
        <w:t>Use strict DTO allowlists.</w:t>
      </w:r>
    </w:p>
    <w:p>
      <w:pPr>
        <w:pStyle w:val="ListBullet"/>
      </w:pPr>
      <w:r>
        <w:t>Reject unexpected fields where appropriate.</w:t>
      </w:r>
    </w:p>
    <w:p>
      <w:pPr>
        <w:pStyle w:val="ListBullet"/>
      </w:pPr>
      <w:r>
        <w:t>Rate-limit authentication and sensitive endpoints.</w:t>
      </w:r>
    </w:p>
    <w:p>
      <w:pPr>
        <w:pStyle w:val="ListBullet"/>
      </w:pPr>
      <w:r>
        <w:t>Use safe CORS policy; do not use wildcard origins for authenticated production APIs without explicit justification.</w:t>
      </w:r>
    </w:p>
    <w:p>
      <w:pPr>
        <w:pStyle w:val="ListBullet"/>
      </w:pPr>
      <w:r>
        <w:t>Return generic server errors; never expose stack traces or SQL.</w:t>
      </w:r>
    </w:p>
    <w:p>
      <w:pPr>
        <w:pStyle w:val="Heading1"/>
      </w:pPr>
      <w:r>
        <w:t>12. Input Validation</w:t>
      </w:r>
    </w:p>
    <w:p>
      <w:pPr>
        <w:pStyle w:val="ListBullet"/>
      </w:pPr>
      <w:r>
        <w:t>Validate type, length, format, range and allowed values.</w:t>
      </w:r>
    </w:p>
    <w:p>
      <w:pPr>
        <w:pStyle w:val="ListBullet"/>
      </w:pPr>
      <w:r>
        <w:t>Normalize phone/email/search values consistently.</w:t>
      </w:r>
    </w:p>
    <w:p>
      <w:pPr>
        <w:pStyle w:val="ListBullet"/>
      </w:pPr>
      <w:r>
        <w:t>Validate UUID/resource identifiers before database access.</w:t>
      </w:r>
    </w:p>
    <w:p>
      <w:pPr>
        <w:pStyle w:val="ListBullet"/>
      </w:pPr>
      <w:r>
        <w:t>Reject oversized payloads.</w:t>
      </w:r>
    </w:p>
    <w:p>
      <w:pPr>
        <w:pStyle w:val="ListBullet"/>
      </w:pPr>
      <w:r>
        <w:t>Validate file uploads separately if a future feature introduces them.</w:t>
      </w:r>
    </w:p>
    <w:p>
      <w:pPr>
        <w:pStyle w:val="ListBullet"/>
      </w:pPr>
      <w:r>
        <w:t>Business rules remain in domain/application services rather than relying solely on API validation.</w:t>
      </w:r>
    </w:p>
    <w:p>
      <w:pPr>
        <w:pStyle w:val="Heading1"/>
      </w:pPr>
      <w:r>
        <w:t>13. Database Security</w:t>
      </w:r>
    </w:p>
    <w:p>
      <w:pPr>
        <w:pStyle w:val="ListBullet"/>
      </w:pPr>
      <w:r>
        <w:t>Application database accounts use least privilege.</w:t>
      </w:r>
    </w:p>
    <w:p>
      <w:pPr>
        <w:pStyle w:val="ListBullet"/>
      </w:pPr>
      <w:r>
        <w:t>Schema migration credentials are separated from runtime credentials where practical.</w:t>
      </w:r>
    </w:p>
    <w:p>
      <w:pPr>
        <w:pStyle w:val="ListBullet"/>
      </w:pPr>
      <w:r>
        <w:t>Parameterized queries are mandatory.</w:t>
      </w:r>
    </w:p>
    <w:p>
      <w:pPr>
        <w:pStyle w:val="ListBullet"/>
      </w:pPr>
      <w:r>
        <w:t>Production database access is restricted by network and identity controls.</w:t>
      </w:r>
    </w:p>
    <w:p>
      <w:pPr>
        <w:pStyle w:val="ListBullet"/>
      </w:pPr>
      <w:r>
        <w:t>Audit-sensitive tables have controlled write paths.</w:t>
      </w:r>
    </w:p>
    <w:p>
      <w:pPr>
        <w:pStyle w:val="ListBullet"/>
      </w:pPr>
      <w:r>
        <w:t>Backups and replicas follow the same access-control baseline.</w:t>
      </w:r>
    </w:p>
    <w:p>
      <w:pPr>
        <w:pStyle w:val="Heading1"/>
      </w:pPr>
      <w:r>
        <w:t>14. Secrets Management</w:t>
      </w:r>
    </w:p>
    <w:tbl>
      <w:tblPr>
        <w:tblStyle w:val="TableGrid"/>
        <w:tblW w:type="auto" w:w="0"/>
        <w:tblLook w:firstColumn="1" w:firstRow="1" w:lastColumn="0" w:lastRow="0" w:noHBand="0" w:noVBand="1" w:val="04A0"/>
      </w:tblPr>
      <w:tblGrid>
        <w:gridCol w:w="5184"/>
        <w:gridCol w:w="5184"/>
      </w:tblGrid>
      <w:tr>
        <w:tc>
          <w:tcPr>
            <w:tcW w:type="dxa" w:w="5184"/>
          </w:tcPr>
          <w:p>
            <w:r>
              <w:t>Secret</w:t>
            </w:r>
          </w:p>
        </w:tc>
        <w:tc>
          <w:tcPr>
            <w:tcW w:type="dxa" w:w="5184"/>
          </w:tcPr>
          <w:p>
            <w:r>
              <w:t>Required Control</w:t>
            </w:r>
          </w:p>
        </w:tc>
      </w:tr>
      <w:tr>
        <w:tc>
          <w:tcPr>
            <w:tcW w:type="dxa" w:w="5184"/>
          </w:tcPr>
          <w:p>
            <w:r>
              <w:t>API signing/encryption keys</w:t>
            </w:r>
          </w:p>
        </w:tc>
        <w:tc>
          <w:tcPr>
            <w:tcW w:type="dxa" w:w="5184"/>
          </w:tcPr>
          <w:p>
            <w:r>
              <w:t>Secret manager + rotation</w:t>
            </w:r>
          </w:p>
        </w:tc>
      </w:tr>
      <w:tr>
        <w:tc>
          <w:tcPr>
            <w:tcW w:type="dxa" w:w="5184"/>
          </w:tcPr>
          <w:p>
            <w:r>
              <w:t>Database credentials</w:t>
            </w:r>
          </w:p>
        </w:tc>
        <w:tc>
          <w:tcPr>
            <w:tcW w:type="dxa" w:w="5184"/>
          </w:tcPr>
          <w:p>
            <w:r>
              <w:t>Secret manager; no source control</w:t>
            </w:r>
          </w:p>
        </w:tc>
      </w:tr>
      <w:tr>
        <w:tc>
          <w:tcPr>
            <w:tcW w:type="dxa" w:w="5184"/>
          </w:tcPr>
          <w:p>
            <w:r>
              <w:t>SMTP credentials</w:t>
            </w:r>
          </w:p>
        </w:tc>
        <w:tc>
          <w:tcPr>
            <w:tcW w:type="dxa" w:w="5184"/>
          </w:tcPr>
          <w:p>
            <w:r>
              <w:t>Secret manager</w:t>
            </w:r>
          </w:p>
        </w:tc>
      </w:tr>
      <w:tr>
        <w:tc>
          <w:tcPr>
            <w:tcW w:type="dxa" w:w="5184"/>
          </w:tcPr>
          <w:p>
            <w:r>
              <w:t>Twilio/provider credentials</w:t>
            </w:r>
          </w:p>
        </w:tc>
        <w:tc>
          <w:tcPr>
            <w:tcW w:type="dxa" w:w="5184"/>
          </w:tcPr>
          <w:p>
            <w:r>
              <w:t>Secret manager</w:t>
            </w:r>
          </w:p>
        </w:tc>
      </w:tr>
      <w:tr>
        <w:tc>
          <w:tcPr>
            <w:tcW w:type="dxa" w:w="5184"/>
          </w:tcPr>
          <w:p>
            <w:r>
              <w:t>Cloud API tokens</w:t>
            </w:r>
          </w:p>
        </w:tc>
        <w:tc>
          <w:tcPr>
            <w:tcW w:type="dxa" w:w="5184"/>
          </w:tcPr>
          <w:p>
            <w:r>
              <w:t>Secret manager + least privilege</w:t>
            </w:r>
          </w:p>
        </w:tc>
      </w:tr>
      <w:tr>
        <w:tc>
          <w:tcPr>
            <w:tcW w:type="dxa" w:w="5184"/>
          </w:tcPr>
          <w:p>
            <w:r>
              <w:t>Webhook signing secrets</w:t>
            </w:r>
          </w:p>
        </w:tc>
        <w:tc>
          <w:tcPr>
            <w:tcW w:type="dxa" w:w="5184"/>
          </w:tcPr>
          <w:p>
            <w:r>
              <w:t>Secret manager</w:t>
            </w:r>
          </w:p>
        </w:tc>
      </w:tr>
    </w:tbl>
    <w:p>
      <w:pPr>
        <w:pStyle w:val="ListBullet"/>
      </w:pPr>
      <w:r>
        <w:t>No secrets in Git, .env committed files, logs, screenshots or API responses.</w:t>
      </w:r>
    </w:p>
    <w:p>
      <w:pPr>
        <w:pStyle w:val="ListBullet"/>
      </w:pPr>
      <w:r>
        <w:t>Production secrets are injected at runtime.</w:t>
      </w:r>
    </w:p>
    <w:p>
      <w:pPr>
        <w:pStyle w:val="ListBullet"/>
      </w:pPr>
      <w:r>
        <w:t>Secret scanning is part of CI/CD.</w:t>
      </w:r>
    </w:p>
    <w:p>
      <w:pPr>
        <w:pStyle w:val="Heading1"/>
      </w:pPr>
      <w:r>
        <w:t>15. Audit &amp; Accountability</w:t>
      </w:r>
    </w:p>
    <w:p>
      <w:pPr>
        <w:pStyle w:val="ListBullet"/>
      </w:pPr>
      <w:r>
        <w:t>Audit material business mutations: patient changes, appointment lifecycle changes, privileged notification operations and security administration.</w:t>
      </w:r>
    </w:p>
    <w:p>
      <w:pPr>
        <w:pStyle w:val="ListBullet"/>
      </w:pPr>
      <w:r>
        <w:t>Audit records include actor/service identity, tenant, action, target, timestamp and correlation ID.</w:t>
      </w:r>
    </w:p>
    <w:p>
      <w:pPr>
        <w:pStyle w:val="ListBullet"/>
      </w:pPr>
      <w:r>
        <w:t>Do not store full sensitive payloads merely to create an audit trail.</w:t>
      </w:r>
    </w:p>
    <w:p>
      <w:pPr>
        <w:pStyle w:val="ListBullet"/>
      </w:pPr>
      <w:r>
        <w:t>Audit data has controlled read access and retention.</w:t>
      </w:r>
    </w:p>
    <w:p>
      <w:pPr>
        <w:pStyle w:val="ListBullet"/>
      </w:pPr>
      <w:r>
        <w:t>Application logs and business audit records are distinct controls.</w:t>
      </w:r>
    </w:p>
    <w:p>
      <w:pPr>
        <w:pStyle w:val="Heading1"/>
      </w:pPr>
      <w:r>
        <w:t>16. Logging &amp; Privacy</w:t>
      </w:r>
    </w:p>
    <w:p>
      <w:pPr>
        <w:pStyle w:val="ListBullet"/>
      </w:pPr>
      <w:r>
        <w:t>Use structured logs.</w:t>
      </w:r>
    </w:p>
    <w:p>
      <w:pPr>
        <w:pStyle w:val="ListBullet"/>
      </w:pPr>
      <w:r>
        <w:t>Never log passwords, access tokens, provider secrets or full notification message bodies.</w:t>
      </w:r>
    </w:p>
    <w:p>
      <w:pPr>
        <w:pStyle w:val="ListBullet"/>
      </w:pPr>
      <w:r>
        <w:t>Mask/redact sensitive identifiers where full value is unnecessary.</w:t>
      </w:r>
    </w:p>
    <w:p>
      <w:pPr>
        <w:pStyle w:val="ListBullet"/>
      </w:pPr>
      <w:r>
        <w:t>Log authorization failures without revealing protected resource details.</w:t>
      </w:r>
    </w:p>
    <w:p>
      <w:pPr>
        <w:pStyle w:val="ListBullet"/>
      </w:pPr>
      <w:r>
        <w:t>Correlation IDs connect API activity, audit events and worker processing.</w:t>
      </w:r>
    </w:p>
    <w:p>
      <w:pPr>
        <w:pStyle w:val="Heading1"/>
      </w:pPr>
      <w:r>
        <w:t>17. Notification Security</w:t>
      </w:r>
    </w:p>
    <w:p>
      <w:pPr>
        <w:pStyle w:val="ListBullet"/>
      </w:pPr>
      <w:r>
        <w:t>Notification outbox data is tenant-scoped.</w:t>
      </w:r>
    </w:p>
    <w:p>
      <w:pPr>
        <w:pStyle w:val="ListBullet"/>
      </w:pPr>
      <w:r>
        <w:t>Provider credentials are outside ordinary notification records.</w:t>
      </w:r>
    </w:p>
    <w:p>
      <w:pPr>
        <w:pStyle w:val="ListBullet"/>
      </w:pPr>
      <w:r>
        <w:t>Worker/provider adapters operate with least privilege.</w:t>
      </w:r>
    </w:p>
    <w:p>
      <w:pPr>
        <w:pStyle w:val="ListBullet"/>
      </w:pPr>
      <w:r>
        <w:t>Webhook signatures and replay protection are mandatory where provider supports them.</w:t>
      </w:r>
    </w:p>
    <w:p>
      <w:pPr>
        <w:pStyle w:val="ListBullet"/>
      </w:pPr>
      <w:r>
        <w:t>Notification retries must not bypass authorization or consent rules.</w:t>
      </w:r>
    </w:p>
    <w:p>
      <w:pPr>
        <w:pStyle w:val="ListBullet"/>
      </w:pPr>
      <w:r>
        <w:t>External messages contain minimum necessary information.</w:t>
      </w:r>
    </w:p>
    <w:p>
      <w:pPr>
        <w:pStyle w:val="Heading1"/>
      </w:pPr>
      <w:r>
        <w:t>18. Privacy &amp; Consent</w:t>
      </w:r>
    </w:p>
    <w:p>
      <w:pPr>
        <w:pStyle w:val="ListBullet"/>
      </w:pPr>
      <w:r>
        <w:t>Operational communications and marketing communications are treated separately.</w:t>
      </w:r>
    </w:p>
    <w:p>
      <w:pPr>
        <w:pStyle w:val="ListBullet"/>
      </w:pPr>
      <w:r>
        <w:t>Patient preferences are authoritative only within their documented scope.</w:t>
      </w:r>
    </w:p>
    <w:p>
      <w:pPr>
        <w:pStyle w:val="ListBullet"/>
      </w:pPr>
      <w:r>
        <w:t>Consent changes are auditable where required.</w:t>
      </w:r>
    </w:p>
    <w:p>
      <w:pPr>
        <w:pStyle w:val="ListBullet"/>
      </w:pPr>
      <w:r>
        <w:t>Notification dispatch checks applicable preferences/policy before sending.</w:t>
      </w:r>
    </w:p>
    <w:p>
      <w:pPr>
        <w:pStyle w:val="ListBullet"/>
      </w:pPr>
      <w:r>
        <w:t>Legal/regulatory requirements for the actual deployment jurisdiction must be reviewed before production launch; this document is an engineering baseline, not legal advice.</w:t>
      </w:r>
    </w:p>
    <w:p>
      <w:pPr>
        <w:pStyle w:val="Heading1"/>
      </w:pPr>
      <w:r>
        <w:t>19. Data Retention &amp; Deletion</w:t>
      </w:r>
    </w:p>
    <w:p>
      <w:pPr>
        <w:pStyle w:val="ListBullet"/>
      </w:pPr>
      <w:r>
        <w:t>Retention periods must be defined per data category and applicable legal/business requirements.</w:t>
      </w:r>
    </w:p>
    <w:p>
      <w:pPr>
        <w:pStyle w:val="ListBullet"/>
      </w:pPr>
      <w:r>
        <w:t>Patient archival is not equivalent to immediate physical deletion.</w:t>
      </w:r>
    </w:p>
    <w:p>
      <w:pPr>
        <w:pStyle w:val="ListBullet"/>
      </w:pPr>
      <w:r>
        <w:t>Audit evidence may require longer retention than ordinary operational records.</w:t>
      </w:r>
    </w:p>
    <w:p>
      <w:pPr>
        <w:pStyle w:val="ListBullet"/>
      </w:pPr>
      <w:r>
        <w:t>Notification attempts/events should have explicit retention and archival rules.</w:t>
      </w:r>
    </w:p>
    <w:p>
      <w:pPr>
        <w:pStyle w:val="ListBullet"/>
      </w:pPr>
      <w:r>
        <w:t>Deletion workflows must preserve required referential integrity and legally required records.</w:t>
      </w:r>
    </w:p>
    <w:p>
      <w:pPr>
        <w:pStyle w:val="Heading1"/>
      </w:pPr>
      <w:r>
        <w:t>20. Backup &amp; Recovery Security</w:t>
      </w:r>
    </w:p>
    <w:p>
      <w:pPr>
        <w:pStyle w:val="ListBullet"/>
      </w:pPr>
      <w:r>
        <w:t>Backups are encrypted and access-controlled.</w:t>
      </w:r>
    </w:p>
    <w:p>
      <w:pPr>
        <w:pStyle w:val="ListBullet"/>
      </w:pPr>
      <w:r>
        <w:t>Restore operations are restricted and audited.</w:t>
      </w:r>
    </w:p>
    <w:p>
      <w:pPr>
        <w:pStyle w:val="ListBullet"/>
      </w:pPr>
      <w:r>
        <w:t>Recovery testing is required, not merely backup creation.</w:t>
      </w:r>
    </w:p>
    <w:p>
      <w:pPr>
        <w:pStyle w:val="ListBullet"/>
      </w:pPr>
      <w:r>
        <w:t>Recovery objectives are defined in the availability/DR plan.</w:t>
      </w:r>
    </w:p>
    <w:p>
      <w:pPr>
        <w:pStyle w:val="ListBullet"/>
      </w:pPr>
      <w:r>
        <w:t>Backups containing patient data receive the same sensitivity classification as production data.</w:t>
      </w:r>
    </w:p>
    <w:p>
      <w:pPr>
        <w:pStyle w:val="Heading1"/>
      </w:pPr>
      <w:r>
        <w:t>21. Security Headers &amp; Edge Controls</w:t>
      </w:r>
    </w:p>
    <w:p>
      <w:pPr>
        <w:pStyle w:val="ListBullet"/>
      </w:pPr>
      <w:r>
        <w:t>Use HSTS in production where appropriate.</w:t>
      </w:r>
    </w:p>
    <w:p>
      <w:pPr>
        <w:pStyle w:val="ListBullet"/>
      </w:pPr>
      <w:r>
        <w:t>Set secure browser headers for web clients.</w:t>
      </w:r>
    </w:p>
    <w:p>
      <w:pPr>
        <w:pStyle w:val="ListBullet"/>
      </w:pPr>
      <w:r>
        <w:t>Restrict framing/clickjacking according to deployment needs.</w:t>
      </w:r>
    </w:p>
    <w:p>
      <w:pPr>
        <w:pStyle w:val="ListBullet"/>
      </w:pPr>
      <w:r>
        <w:t>Use a secure Content Security Policy for browser applications.</w:t>
      </w:r>
    </w:p>
    <w:p>
      <w:pPr>
        <w:pStyle w:val="ListBullet"/>
      </w:pPr>
      <w:r>
        <w:t>Apply request-size and rate controls at edge and application layers.</w:t>
      </w:r>
    </w:p>
    <w:p>
      <w:pPr>
        <w:pStyle w:val="Heading1"/>
      </w:pPr>
      <w:r>
        <w:t>22. Dependency &amp; Supply Chain Security</w:t>
      </w:r>
    </w:p>
    <w:p>
      <w:pPr>
        <w:pStyle w:val="ListBullet"/>
      </w:pPr>
      <w:r>
        <w:t>Pin or constrain production dependency versions.</w:t>
      </w:r>
    </w:p>
    <w:p>
      <w:pPr>
        <w:pStyle w:val="ListBullet"/>
      </w:pPr>
      <w:r>
        <w:t>Run dependency vulnerability scanning.</w:t>
      </w:r>
    </w:p>
    <w:p>
      <w:pPr>
        <w:pStyle w:val="ListBullet"/>
      </w:pPr>
      <w:r>
        <w:t>Review critical/high vulnerabilities before production release.</w:t>
      </w:r>
    </w:p>
    <w:p>
      <w:pPr>
        <w:pStyle w:val="ListBullet"/>
      </w:pPr>
      <w:r>
        <w:t>Use lockfiles and reproducible builds.</w:t>
      </w:r>
    </w:p>
    <w:p>
      <w:pPr>
        <w:pStyle w:val="ListBullet"/>
      </w:pPr>
      <w:r>
        <w:t>Do not install arbitrary packages suggested by generated code without review.</w:t>
      </w:r>
    </w:p>
    <w:p>
      <w:pPr>
        <w:pStyle w:val="ListBullet"/>
      </w:pPr>
      <w:r>
        <w:t>Cursor-generated dependencies require the same review as human-selected dependencies.</w:t>
      </w:r>
    </w:p>
    <w:p>
      <w:pPr>
        <w:pStyle w:val="Heading1"/>
      </w:pPr>
      <w:r>
        <w:t>23. Secure Development Lifecycle</w:t>
      </w:r>
    </w:p>
    <w:tbl>
      <w:tblPr>
        <w:tblStyle w:val="TableGrid"/>
        <w:tblW w:type="auto" w:w="0"/>
        <w:tblLook w:firstColumn="1" w:firstRow="1" w:lastColumn="0" w:lastRow="0" w:noHBand="0" w:noVBand="1" w:val="04A0"/>
      </w:tblPr>
      <w:tblGrid>
        <w:gridCol w:w="5184"/>
        <w:gridCol w:w="5184"/>
      </w:tblGrid>
      <w:tr>
        <w:tc>
          <w:tcPr>
            <w:tcW w:type="dxa" w:w="5184"/>
          </w:tcPr>
          <w:p>
            <w:r>
              <w:t>Stage</w:t>
            </w:r>
          </w:p>
        </w:tc>
        <w:tc>
          <w:tcPr>
            <w:tcW w:type="dxa" w:w="5184"/>
          </w:tcPr>
          <w:p>
            <w:r>
              <w:t>Required Control</w:t>
            </w:r>
          </w:p>
        </w:tc>
      </w:tr>
      <w:tr>
        <w:tc>
          <w:tcPr>
            <w:tcW w:type="dxa" w:w="5184"/>
          </w:tcPr>
          <w:p>
            <w:r>
              <w:t>Design</w:t>
            </w:r>
          </w:p>
        </w:tc>
        <w:tc>
          <w:tcPr>
            <w:tcW w:type="dxa" w:w="5184"/>
          </w:tcPr>
          <w:p>
            <w:r>
              <w:t>Threat modeling + security review</w:t>
            </w:r>
          </w:p>
        </w:tc>
      </w:tr>
      <w:tr>
        <w:tc>
          <w:tcPr>
            <w:tcW w:type="dxa" w:w="5184"/>
          </w:tcPr>
          <w:p>
            <w:r>
              <w:t>Implementation</w:t>
            </w:r>
          </w:p>
        </w:tc>
        <w:tc>
          <w:tcPr>
            <w:tcW w:type="dxa" w:w="5184"/>
          </w:tcPr>
          <w:p>
            <w:r>
              <w:t>Secure coding + least privilege</w:t>
            </w:r>
          </w:p>
        </w:tc>
      </w:tr>
      <w:tr>
        <w:tc>
          <w:tcPr>
            <w:tcW w:type="dxa" w:w="5184"/>
          </w:tcPr>
          <w:p>
            <w:r>
              <w:t>Pull request</w:t>
            </w:r>
          </w:p>
        </w:tc>
        <w:tc>
          <w:tcPr>
            <w:tcW w:type="dxa" w:w="5184"/>
          </w:tcPr>
          <w:p>
            <w:r>
              <w:t>Automated tests + secret/dependency scanning</w:t>
            </w:r>
          </w:p>
        </w:tc>
      </w:tr>
      <w:tr>
        <w:tc>
          <w:tcPr>
            <w:tcW w:type="dxa" w:w="5184"/>
          </w:tcPr>
          <w:p>
            <w:r>
              <w:t>CI</w:t>
            </w:r>
          </w:p>
        </w:tc>
        <w:tc>
          <w:tcPr>
            <w:tcW w:type="dxa" w:w="5184"/>
          </w:tcPr>
          <w:p>
            <w:r>
              <w:t>SAST where available + contract/security tests</w:t>
            </w:r>
          </w:p>
        </w:tc>
      </w:tr>
      <w:tr>
        <w:tc>
          <w:tcPr>
            <w:tcW w:type="dxa" w:w="5184"/>
          </w:tcPr>
          <w:p>
            <w:r>
              <w:t>Pre-production</w:t>
            </w:r>
          </w:p>
        </w:tc>
        <w:tc>
          <w:tcPr>
            <w:tcW w:type="dxa" w:w="5184"/>
          </w:tcPr>
          <w:p>
            <w:r>
              <w:t>DAST/API security testing + configuration review</w:t>
            </w:r>
          </w:p>
        </w:tc>
      </w:tr>
      <w:tr>
        <w:tc>
          <w:tcPr>
            <w:tcW w:type="dxa" w:w="5184"/>
          </w:tcPr>
          <w:p>
            <w:r>
              <w:t>Release</w:t>
            </w:r>
          </w:p>
        </w:tc>
        <w:tc>
          <w:tcPr>
            <w:tcW w:type="dxa" w:w="5184"/>
          </w:tcPr>
          <w:p>
            <w:r>
              <w:t>Approval + migration review + rollback plan</w:t>
            </w:r>
          </w:p>
        </w:tc>
      </w:tr>
      <w:tr>
        <w:tc>
          <w:tcPr>
            <w:tcW w:type="dxa" w:w="5184"/>
          </w:tcPr>
          <w:p>
            <w:r>
              <w:t>Operations</w:t>
            </w:r>
          </w:p>
        </w:tc>
        <w:tc>
          <w:tcPr>
            <w:tcW w:type="dxa" w:w="5184"/>
          </w:tcPr>
          <w:p>
            <w:r>
              <w:t>Monitoring + incident response + patching</w:t>
            </w:r>
          </w:p>
        </w:tc>
      </w:tr>
    </w:tbl>
    <w:p>
      <w:pPr>
        <w:pStyle w:val="Heading1"/>
      </w:pPr>
      <w:r>
        <w:t>24. Security Testing</w:t>
      </w:r>
    </w:p>
    <w:p>
      <w:pPr>
        <w:pStyle w:val="ListBullet"/>
      </w:pPr>
      <w:r>
        <w:t>Authentication bypass tests.</w:t>
      </w:r>
    </w:p>
    <w:p>
      <w:pPr>
        <w:pStyle w:val="ListBullet"/>
      </w:pPr>
      <w:r>
        <w:t>RBAC/permission matrix tests.</w:t>
      </w:r>
    </w:p>
    <w:p>
      <w:pPr>
        <w:pStyle w:val="ListBullet"/>
      </w:pPr>
      <w:r>
        <w:t>BOLA/IDOR tests for every resource endpoint.</w:t>
      </w:r>
    </w:p>
    <w:p>
      <w:pPr>
        <w:pStyle w:val="ListBullet"/>
      </w:pPr>
      <w:r>
        <w:t>Cross-tenant isolation tests.</w:t>
      </w:r>
    </w:p>
    <w:p>
      <w:pPr>
        <w:pStyle w:val="ListBullet"/>
      </w:pPr>
      <w:r>
        <w:t>SQL injection tests.</w:t>
      </w:r>
    </w:p>
    <w:p>
      <w:pPr>
        <w:pStyle w:val="ListBullet"/>
      </w:pPr>
      <w:r>
        <w:t>Mass assignment tests.</w:t>
      </w:r>
    </w:p>
    <w:p>
      <w:pPr>
        <w:pStyle w:val="ListBullet"/>
      </w:pPr>
      <w:r>
        <w:t>Rate-limit tests.</w:t>
      </w:r>
    </w:p>
    <w:p>
      <w:pPr>
        <w:pStyle w:val="ListBullet"/>
      </w:pPr>
      <w:r>
        <w:t>Webhook spoof/replay tests.</w:t>
      </w:r>
    </w:p>
    <w:p>
      <w:pPr>
        <w:pStyle w:val="ListBullet"/>
      </w:pPr>
      <w:r>
        <w:t>Secret leakage tests.</w:t>
      </w:r>
    </w:p>
    <w:p>
      <w:pPr>
        <w:pStyle w:val="ListBullet"/>
      </w:pPr>
      <w:r>
        <w:t>Sensitive-data logging tests.</w:t>
      </w:r>
    </w:p>
    <w:p>
      <w:pPr>
        <w:pStyle w:val="ListBullet"/>
      </w:pPr>
      <w:r>
        <w:t>Concurrency/security race tests.</w:t>
      </w:r>
    </w:p>
    <w:p>
      <w:pPr>
        <w:pStyle w:val="ListBullet"/>
      </w:pPr>
      <w:r>
        <w:t>Dependency and configuration scans.</w:t>
      </w:r>
    </w:p>
    <w:p>
      <w:pPr>
        <w:pStyle w:val="Heading1"/>
      </w:pPr>
      <w:r>
        <w:t>25. Incident Response</w:t>
      </w:r>
    </w:p>
    <w:p>
      <w:pPr>
        <w:pStyle w:val="ListBullet"/>
      </w:pPr>
      <w:r>
        <w:t>Security incidents must be classified by severity.</w:t>
      </w:r>
    </w:p>
    <w:p>
      <w:pPr>
        <w:pStyle w:val="ListBullet"/>
      </w:pPr>
      <w:r>
        <w:t>Containment takes priority over preserving normal availability where required for safety.</w:t>
      </w:r>
    </w:p>
    <w:p>
      <w:pPr>
        <w:pStyle w:val="ListBullet"/>
      </w:pPr>
      <w:r>
        <w:t>Compromised credentials/tokens are revoked and rotated.</w:t>
      </w:r>
    </w:p>
    <w:p>
      <w:pPr>
        <w:pStyle w:val="ListBullet"/>
      </w:pPr>
      <w:r>
        <w:t>Relevant audit/log evidence is preserved.</w:t>
      </w:r>
    </w:p>
    <w:p>
      <w:pPr>
        <w:pStyle w:val="ListBullet"/>
      </w:pPr>
      <w:r>
        <w:t>Patient/privacy incidents follow applicable notification and legal procedures.</w:t>
      </w:r>
    </w:p>
    <w:p>
      <w:pPr>
        <w:pStyle w:val="ListBullet"/>
      </w:pPr>
      <w:r>
        <w:t>Post-incident remediation is tracked to closure.</w:t>
      </w:r>
    </w:p>
    <w:p>
      <w:pPr>
        <w:pStyle w:val="Heading1"/>
      </w:pPr>
      <w:r>
        <w:t>26. Security Configuration Baseline</w:t>
      </w:r>
    </w:p>
    <w:tbl>
      <w:tblPr>
        <w:tblStyle w:val="TableGrid"/>
        <w:tblW w:type="auto" w:w="0"/>
        <w:tblLook w:firstColumn="1" w:firstRow="1" w:lastColumn="0" w:lastRow="0" w:noHBand="0" w:noVBand="1" w:val="04A0"/>
      </w:tblPr>
      <w:tblGrid>
        <w:gridCol w:w="5184"/>
        <w:gridCol w:w="5184"/>
      </w:tblGrid>
      <w:tr>
        <w:tc>
          <w:tcPr>
            <w:tcW w:type="dxa" w:w="5184"/>
          </w:tcPr>
          <w:p>
            <w:r>
              <w:t>Control</w:t>
            </w:r>
          </w:p>
        </w:tc>
        <w:tc>
          <w:tcPr>
            <w:tcW w:type="dxa" w:w="5184"/>
          </w:tcPr>
          <w:p>
            <w:r>
              <w:t>Baseline</w:t>
            </w:r>
          </w:p>
        </w:tc>
      </w:tr>
      <w:tr>
        <w:tc>
          <w:tcPr>
            <w:tcW w:type="dxa" w:w="5184"/>
          </w:tcPr>
          <w:p>
            <w:r>
              <w:t>Production HTTPS</w:t>
            </w:r>
          </w:p>
        </w:tc>
        <w:tc>
          <w:tcPr>
            <w:tcW w:type="dxa" w:w="5184"/>
          </w:tcPr>
          <w:p>
            <w:r>
              <w:t>Mandatory</w:t>
            </w:r>
          </w:p>
        </w:tc>
      </w:tr>
      <w:tr>
        <w:tc>
          <w:tcPr>
            <w:tcW w:type="dxa" w:w="5184"/>
          </w:tcPr>
          <w:p>
            <w:r>
              <w:t>Secrets in source control</w:t>
            </w:r>
          </w:p>
        </w:tc>
        <w:tc>
          <w:tcPr>
            <w:tcW w:type="dxa" w:w="5184"/>
          </w:tcPr>
          <w:p>
            <w:r>
              <w:t>Prohibited</w:t>
            </w:r>
          </w:p>
        </w:tc>
      </w:tr>
      <w:tr>
        <w:tc>
          <w:tcPr>
            <w:tcW w:type="dxa" w:w="5184"/>
          </w:tcPr>
          <w:p>
            <w:r>
              <w:t>Default-deny authorization</w:t>
            </w:r>
          </w:p>
        </w:tc>
        <w:tc>
          <w:tcPr>
            <w:tcW w:type="dxa" w:w="5184"/>
          </w:tcPr>
          <w:p>
            <w:r>
              <w:t>Mandatory</w:t>
            </w:r>
          </w:p>
        </w:tc>
      </w:tr>
      <w:tr>
        <w:tc>
          <w:tcPr>
            <w:tcW w:type="dxa" w:w="5184"/>
          </w:tcPr>
          <w:p>
            <w:r>
              <w:t>Tenant isolation</w:t>
            </w:r>
          </w:p>
        </w:tc>
        <w:tc>
          <w:tcPr>
            <w:tcW w:type="dxa" w:w="5184"/>
          </w:tcPr>
          <w:p>
            <w:r>
              <w:t>Mandatory</w:t>
            </w:r>
          </w:p>
        </w:tc>
      </w:tr>
      <w:tr>
        <w:tc>
          <w:tcPr>
            <w:tcW w:type="dxa" w:w="5184"/>
          </w:tcPr>
          <w:p>
            <w:r>
              <w:t>Object-level authorization</w:t>
            </w:r>
          </w:p>
        </w:tc>
        <w:tc>
          <w:tcPr>
            <w:tcW w:type="dxa" w:w="5184"/>
          </w:tcPr>
          <w:p>
            <w:r>
              <w:t>Mandatory</w:t>
            </w:r>
          </w:p>
        </w:tc>
      </w:tr>
      <w:tr>
        <w:tc>
          <w:tcPr>
            <w:tcW w:type="dxa" w:w="5184"/>
          </w:tcPr>
          <w:p>
            <w:r>
              <w:t>SQL parameterization</w:t>
            </w:r>
          </w:p>
        </w:tc>
        <w:tc>
          <w:tcPr>
            <w:tcW w:type="dxa" w:w="5184"/>
          </w:tcPr>
          <w:p>
            <w:r>
              <w:t>Mandatory</w:t>
            </w:r>
          </w:p>
        </w:tc>
      </w:tr>
      <w:tr>
        <w:tc>
          <w:tcPr>
            <w:tcW w:type="dxa" w:w="5184"/>
          </w:tcPr>
          <w:p>
            <w:r>
              <w:t>Sensitive logging</w:t>
            </w:r>
          </w:p>
        </w:tc>
        <w:tc>
          <w:tcPr>
            <w:tcW w:type="dxa" w:w="5184"/>
          </w:tcPr>
          <w:p>
            <w:r>
              <w:t>Prohibited</w:t>
            </w:r>
          </w:p>
        </w:tc>
      </w:tr>
      <w:tr>
        <w:tc>
          <w:tcPr>
            <w:tcW w:type="dxa" w:w="5184"/>
          </w:tcPr>
          <w:p>
            <w:r>
              <w:t>Audit for material mutations</w:t>
            </w:r>
          </w:p>
        </w:tc>
        <w:tc>
          <w:tcPr>
            <w:tcW w:type="dxa" w:w="5184"/>
          </w:tcPr>
          <w:p>
            <w:r>
              <w:t>Mandatory</w:t>
            </w:r>
          </w:p>
        </w:tc>
      </w:tr>
      <w:tr>
        <w:tc>
          <w:tcPr>
            <w:tcW w:type="dxa" w:w="5184"/>
          </w:tcPr>
          <w:p>
            <w:r>
              <w:t>Dependency scanning</w:t>
            </w:r>
          </w:p>
        </w:tc>
        <w:tc>
          <w:tcPr>
            <w:tcW w:type="dxa" w:w="5184"/>
          </w:tcPr>
          <w:p>
            <w:r>
              <w:t>Required</w:t>
            </w:r>
          </w:p>
        </w:tc>
      </w:tr>
      <w:tr>
        <w:tc>
          <w:tcPr>
            <w:tcW w:type="dxa" w:w="5184"/>
          </w:tcPr>
          <w:p>
            <w:r>
              <w:t>Backup encryption</w:t>
            </w:r>
          </w:p>
        </w:tc>
        <w:tc>
          <w:tcPr>
            <w:tcW w:type="dxa" w:w="5184"/>
          </w:tcPr>
          <w:p>
            <w:r>
              <w:t>Required</w:t>
            </w:r>
          </w:p>
        </w:tc>
      </w:tr>
      <w:tr>
        <w:tc>
          <w:tcPr>
            <w:tcW w:type="dxa" w:w="5184"/>
          </w:tcPr>
          <w:p>
            <w:r>
              <w:t>Restore testing</w:t>
            </w:r>
          </w:p>
        </w:tc>
        <w:tc>
          <w:tcPr>
            <w:tcW w:type="dxa" w:w="5184"/>
          </w:tcPr>
          <w:p>
            <w:r>
              <w:t>Required</w:t>
            </w:r>
          </w:p>
        </w:tc>
      </w:tr>
      <w:tr>
        <w:tc>
          <w:tcPr>
            <w:tcW w:type="dxa" w:w="5184"/>
          </w:tcPr>
          <w:p>
            <w:r>
              <w:t>Security testing before production</w:t>
            </w:r>
          </w:p>
        </w:tc>
        <w:tc>
          <w:tcPr>
            <w:tcW w:type="dxa" w:w="5184"/>
          </w:tcPr>
          <w:p>
            <w:r>
              <w:t>Required</w:t>
            </w:r>
          </w:p>
        </w:tc>
      </w:tr>
    </w:tbl>
    <w:p>
      <w:pPr>
        <w:pStyle w:val="Heading1"/>
      </w:pPr>
      <w:r>
        <w:t>27. Cursor Implementation Rules</w:t>
      </w:r>
    </w:p>
    <w:p>
      <w:pPr>
        <w:pStyle w:val="ListBullet"/>
      </w:pPr>
      <w:r>
        <w:t>Cursor must treat this document as the security architecture baseline after approval.</w:t>
      </w:r>
    </w:p>
    <w:p>
      <w:pPr>
        <w:pStyle w:val="ListBullet"/>
      </w:pPr>
      <w:r>
        <w:t>Cursor must never weaken authorization to make a feature work.</w:t>
      </w:r>
    </w:p>
    <w:p>
      <w:pPr>
        <w:pStyle w:val="ListBullet"/>
      </w:pPr>
      <w:r>
        <w:t>Cursor must never trust client-supplied tenant identifiers.</w:t>
      </w:r>
    </w:p>
    <w:p>
      <w:pPr>
        <w:pStyle w:val="ListBullet"/>
      </w:pPr>
      <w:r>
        <w:t>Cursor must not add secrets to source code or committed configuration.</w:t>
      </w:r>
    </w:p>
    <w:p>
      <w:pPr>
        <w:pStyle w:val="ListBullet"/>
      </w:pPr>
      <w:r>
        <w:t>Cursor must not log sensitive patient or credential data.</w:t>
      </w:r>
    </w:p>
    <w:p>
      <w:pPr>
        <w:pStyle w:val="ListBullet"/>
      </w:pPr>
      <w:r>
        <w:t>Cursor must preserve audit, transaction, idempotency and tenant-isolation requirements.</w:t>
      </w:r>
    </w:p>
    <w:p>
      <w:pPr>
        <w:pStyle w:val="ListBullet"/>
      </w:pPr>
      <w:r>
        <w:t>Any security exception requires an ADR and explicit review.</w:t>
      </w:r>
    </w:p>
    <w:p>
      <w:pPr>
        <w:pStyle w:val="Heading1"/>
      </w:pPr>
      <w:r>
        <w:t>28. Definition of Done</w:t>
      </w:r>
    </w:p>
    <w:p>
      <w:pPr>
        <w:pStyle w:val="ListBullet"/>
      </w:pPr>
      <w:r>
        <w:t>Authentication and authorization controls implemented.</w:t>
      </w:r>
    </w:p>
    <w:p>
      <w:pPr>
        <w:pStyle w:val="ListBullet"/>
      </w:pPr>
      <w:r>
        <w:t>Tenant isolation proven with automated tests.</w:t>
      </w:r>
    </w:p>
    <w:p>
      <w:pPr>
        <w:pStyle w:val="ListBullet"/>
      </w:pPr>
      <w:r>
        <w:t>BOLA/IDOR coverage exists for all resource endpoints.</w:t>
      </w:r>
    </w:p>
    <w:p>
      <w:pPr>
        <w:pStyle w:val="ListBullet"/>
      </w:pPr>
      <w:r>
        <w:t>Secrets are externalized.</w:t>
      </w:r>
    </w:p>
    <w:p>
      <w:pPr>
        <w:pStyle w:val="ListBullet"/>
      </w:pPr>
      <w:r>
        <w:t>Sensitive logging is prevented and tested.</w:t>
      </w:r>
    </w:p>
    <w:p>
      <w:pPr>
        <w:pStyle w:val="ListBullet"/>
      </w:pPr>
      <w:r>
        <w:t>Security headers/rate controls are configured.</w:t>
      </w:r>
    </w:p>
    <w:p>
      <w:pPr>
        <w:pStyle w:val="ListBullet"/>
      </w:pPr>
      <w:r>
        <w:t>Dependency and secret scanning are enabled.</w:t>
      </w:r>
    </w:p>
    <w:p>
      <w:pPr>
        <w:pStyle w:val="ListBullet"/>
      </w:pPr>
      <w:r>
        <w:t>Backup/recovery controls are documented.</w:t>
      </w:r>
    </w:p>
    <w:p>
      <w:pPr>
        <w:pStyle w:val="ListBullet"/>
      </w:pPr>
      <w:r>
        <w:t>Security test results are recorded.</w:t>
      </w:r>
    </w:p>
    <w:p>
      <w:pPr>
        <w:pStyle w:val="ListBullet"/>
      </w:pPr>
      <w:r>
        <w:t>RTM is updated.</w:t>
      </w:r>
    </w:p>
    <w:p>
      <w:pPr>
        <w:pStyle w:val="Heading1"/>
      </w:pPr>
      <w:r>
        <w:t>29. Open Decisions / ADRs</w:t>
      </w:r>
    </w:p>
    <w:p>
      <w:pPr>
        <w:pStyle w:val="ListBullet"/>
      </w:pPr>
      <w:r>
        <w:t>ADR-SEC-001 — Exact authentication provider/mechanism.</w:t>
      </w:r>
    </w:p>
    <w:p>
      <w:pPr>
        <w:pStyle w:val="ListBullet"/>
      </w:pPr>
      <w:r>
        <w:t>ADR-SEC-002 — MFA policy for privileged users.</w:t>
      </w:r>
    </w:p>
    <w:p>
      <w:pPr>
        <w:pStyle w:val="ListBullet"/>
      </w:pPr>
      <w:r>
        <w:t>ADR-SEC-003 — Exact RBAC/ABAC permission matrix.</w:t>
      </w:r>
    </w:p>
    <w:p>
      <w:pPr>
        <w:pStyle w:val="ListBullet"/>
      </w:pPr>
      <w:r>
        <w:t>ADR-SEC-004 — Data retention and deletion schedule.</w:t>
      </w:r>
    </w:p>
    <w:p>
      <w:pPr>
        <w:pStyle w:val="ListBullet"/>
      </w:pPr>
      <w:r>
        <w:t>ADR-SEC-005 — Encryption/key-management implementation.</w:t>
      </w:r>
    </w:p>
    <w:p>
      <w:pPr>
        <w:pStyle w:val="ListBullet"/>
      </w:pPr>
      <w:r>
        <w:t>ADR-SEC-006 — Incident severity and response SLA.</w:t>
      </w:r>
    </w:p>
    <w:p>
      <w:pPr>
        <w:pStyle w:val="ListBullet"/>
      </w:pPr>
      <w:r>
        <w:t>ADR-SEC-007 — Production security scanning/toolchain.</w:t>
      </w:r>
    </w:p>
    <w:p>
      <w:pPr>
        <w:pStyle w:val="Heading1"/>
      </w:pPr>
      <w:r>
        <w:t>30.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Scope</w:t>
            </w:r>
          </w:p>
        </w:tc>
        <w:tc>
          <w:tcPr>
            <w:tcW w:type="dxa" w:w="3456"/>
          </w:tcPr>
          <w:p>
            <w:r>
              <w:t>Cross-cutting Security &amp; Privacy</w:t>
            </w:r>
          </w:p>
        </w:tc>
        <w:tc>
          <w:tcPr>
            <w:tcW w:type="dxa" w:w="3456"/>
          </w:tcPr>
          <w:p>
            <w:r>
              <w:t>Applies across Patient, Appointment, Notification and Foundation.</w:t>
            </w:r>
          </w:p>
        </w:tc>
      </w:tr>
      <w:tr>
        <w:tc>
          <w:tcPr>
            <w:tcW w:type="dxa" w:w="3456"/>
          </w:tcPr>
          <w:p>
            <w:r>
              <w:t>Critical invariant</w:t>
            </w:r>
          </w:p>
        </w:tc>
        <w:tc>
          <w:tcPr>
            <w:tcW w:type="dxa" w:w="3456"/>
          </w:tcPr>
          <w:p>
            <w:r>
              <w:t>Deny-by-default + tenant isolation + object authorization + least privilege</w:t>
            </w:r>
          </w:p>
        </w:tc>
        <w:tc>
          <w:tcPr>
            <w:tcW w:type="dxa" w:w="3456"/>
          </w:tcPr>
          <w:p>
            <w:r>
              <w:t>Must be preserved.</w:t>
            </w:r>
          </w:p>
        </w:tc>
      </w:tr>
      <w:tr>
        <w:tc>
          <w:tcPr>
            <w:tcW w:type="dxa" w:w="3456"/>
          </w:tcPr>
          <w:p>
            <w:r>
              <w:t>Legal note</w:t>
            </w:r>
          </w:p>
        </w:tc>
        <w:tc>
          <w:tcPr>
            <w:tcW w:type="dxa" w:w="3456"/>
          </w:tcPr>
          <w:p>
            <w:r>
              <w:t>Deployment-specific legal/privacy review required</w:t>
            </w:r>
          </w:p>
        </w:tc>
        <w:tc>
          <w:tcPr>
            <w:tcW w:type="dxa" w:w="3456"/>
          </w:tcPr>
          <w:p>
            <w:r>
              <w:t>Engineering baseline only.</w:t>
            </w:r>
          </w:p>
        </w:tc>
      </w:tr>
      <w:tr>
        <w:tc>
          <w:tcPr>
            <w:tcW w:type="dxa" w:w="3456"/>
          </w:tcPr>
          <w:p>
            <w:r>
              <w:t>Next dependency</w:t>
            </w:r>
          </w:p>
        </w:tc>
        <w:tc>
          <w:tcPr>
            <w:tcW w:type="dxa" w:w="3456"/>
          </w:tcPr>
          <w:p>
            <w:r>
              <w:t>QA/Test Strategy</w:t>
            </w:r>
          </w:p>
        </w:tc>
        <w:tc>
          <w:tcPr>
            <w:tcW w:type="dxa" w:w="3456"/>
          </w:tcPr>
          <w:p>
            <w:r>
              <w:t>Security requirements must become executable tests.</w:t>
            </w:r>
          </w:p>
        </w:tc>
      </w:tr>
    </w:tbl>
    <w:p>
      <w:pPr>
        <w:pStyle w:val="Heading1"/>
      </w:pPr>
      <w:r>
        <w:t>31. Governance Statement</w:t>
      </w:r>
    </w:p>
    <w:p>
      <w:r>
        <w:rPr>
          <w:b/>
        </w:rPr>
        <w:t>This document is the controlled security and privacy architecture baseline for DentalCare AI. It establishes defense in depth and privacy-by-design controls without replacing applicable law, professional obligations or deployment-specific legal review. Any implementation exception must be explicit, traceable and approved rather than silently weakening the baseline.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