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MASTER DOCUMENTATION INDEX</w:t>
      </w:r>
    </w:p>
    <w:p>
      <w:pPr>
        <w:jc w:val="center"/>
      </w:pPr>
      <w:r>
        <w:rPr>
          <w:b/>
          <w:sz w:val="26"/>
        </w:rPr>
        <w:t>Trinetra Digital Lab — Dental Appointment Management System</w:t>
      </w:r>
    </w:p>
    <w:p>
      <w:pPr>
        <w:jc w:val="center"/>
      </w:pPr>
      <w:r>
        <w:rPr>
          <w:i/>
        </w:rPr>
        <w:t>Document ID: TDA-GOV-MDI-001 | Version: 1.0 | Status: Controlled Baseline</w:t>
      </w:r>
    </w:p>
    <w:p>
      <w:pPr>
        <w:pStyle w:val="Heading1"/>
      </w:pPr>
      <w:r>
        <w:t>1. Purpose</w:t>
      </w:r>
    </w:p>
    <w:p>
      <w:r>
        <w:t>This Master Documentation Index (MDI) is the authoritative catalogue of engineering, product, security, testing, deployment, and governance documentation for the Dental Appointment Management System. It provides a single navigational map of the project knowledge base and defines where authoritative information belongs.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Maintain one discoverable index for the complete project documentation set.</w:t>
      </w:r>
    </w:p>
    <w:p>
      <w:pPr>
        <w:pStyle w:val="ListBullet"/>
      </w:pPr>
      <w:r>
        <w:t>Identify the authoritative source for each subject area.</w:t>
      </w:r>
    </w:p>
    <w:p>
      <w:pPr>
        <w:pStyle w:val="ListBullet"/>
      </w:pPr>
      <w:r>
        <w:t>Prevent duplicate or conflicting requirements from being maintained unknowingly.</w:t>
      </w:r>
    </w:p>
    <w:p>
      <w:pPr>
        <w:pStyle w:val="ListBullet"/>
      </w:pPr>
      <w:r>
        <w:t>Support controlled AI-assisted implementation using Cursor.</w:t>
      </w:r>
    </w:p>
    <w:p>
      <w:pPr>
        <w:pStyle w:val="ListBullet"/>
      </w:pPr>
      <w:r>
        <w:t>Provide traceability from requirements → design → implementation → tests → release.</w:t>
      </w:r>
    </w:p>
    <w:p>
      <w:pPr>
        <w:pStyle w:val="ListBullet"/>
      </w:pPr>
      <w:r>
        <w:t>Allow the documentation library to grow without requiring Cursor to load every document for every task.</w:t>
      </w:r>
    </w:p>
    <w:p>
      <w:pPr>
        <w:pStyle w:val="Heading1"/>
      </w:pPr>
      <w:r>
        <w:t>3. Documentation Status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Status</w:t>
            </w:r>
          </w:p>
        </w:tc>
        <w:tc>
          <w:tcPr>
            <w:tcW w:type="dxa" w:w="3360"/>
          </w:tcPr>
          <w:p>
            <w:r>
              <w:t>Meaning</w:t>
            </w:r>
          </w:p>
        </w:tc>
        <w:tc>
          <w:tcPr>
            <w:tcW w:type="dxa" w:w="3360"/>
          </w:tcPr>
          <w:p>
            <w:r>
              <w:t>Cursor Treatment</w:t>
            </w:r>
          </w:p>
        </w:tc>
      </w:tr>
      <w:tr>
        <w:tc>
          <w:tcPr>
            <w:tcW w:type="dxa" w:w="3360"/>
          </w:tcPr>
          <w:p>
            <w:r>
              <w:t>DRAFT</w:t>
            </w:r>
          </w:p>
        </w:tc>
        <w:tc>
          <w:tcPr>
            <w:tcW w:type="dxa" w:w="3360"/>
          </w:tcPr>
          <w:p>
            <w:r>
              <w:t>Under development; not yet approved.</w:t>
            </w:r>
          </w:p>
        </w:tc>
        <w:tc>
          <w:tcPr>
            <w:tcW w:type="dxa" w:w="3360"/>
          </w:tcPr>
          <w:p>
            <w:r>
              <w:t>Do not treat as authoritative unless explicitly instructed.</w:t>
            </w:r>
          </w:p>
        </w:tc>
      </w:tr>
      <w:tr>
        <w:tc>
          <w:tcPr>
            <w:tcW w:type="dxa" w:w="3360"/>
          </w:tcPr>
          <w:p>
            <w:r>
              <w:t>REVIEW</w:t>
            </w:r>
          </w:p>
        </w:tc>
        <w:tc>
          <w:tcPr>
            <w:tcW w:type="dxa" w:w="3360"/>
          </w:tcPr>
          <w:p>
            <w:r>
              <w:t>Ready for human/architectural review.</w:t>
            </w:r>
          </w:p>
        </w:tc>
        <w:tc>
          <w:tcPr>
            <w:tcW w:type="dxa" w:w="3360"/>
          </w:tcPr>
          <w:p>
            <w:r>
              <w:t>Use only for analysis/proposals; not as final authority.</w:t>
            </w:r>
          </w:p>
        </w:tc>
      </w:tr>
      <w:tr>
        <w:tc>
          <w:tcPr>
            <w:tcW w:type="dxa" w:w="3360"/>
          </w:tcPr>
          <w:p>
            <w:r>
              <w:t>APPROVED</w:t>
            </w:r>
          </w:p>
        </w:tc>
        <w:tc>
          <w:tcPr>
            <w:tcW w:type="dxa" w:w="3360"/>
          </w:tcPr>
          <w:p>
            <w:r>
              <w:t>Approved source of truth.</w:t>
            </w:r>
          </w:p>
        </w:tc>
        <w:tc>
          <w:tcPr>
            <w:tcW w:type="dxa" w:w="3360"/>
          </w:tcPr>
          <w:p>
            <w:r>
              <w:t>May be used as authoritative project context.</w:t>
            </w:r>
          </w:p>
        </w:tc>
      </w:tr>
      <w:tr>
        <w:tc>
          <w:tcPr>
            <w:tcW w:type="dxa" w:w="3360"/>
          </w:tcPr>
          <w:p>
            <w:r>
              <w:t>BASELINED</w:t>
            </w:r>
          </w:p>
        </w:tc>
        <w:tc>
          <w:tcPr>
            <w:tcW w:type="dxa" w:w="3360"/>
          </w:tcPr>
          <w:p>
            <w:r>
              <w:t>Approved and frozen for an implementation phase.</w:t>
            </w:r>
          </w:p>
        </w:tc>
        <w:tc>
          <w:tcPr>
            <w:tcW w:type="dxa" w:w="3360"/>
          </w:tcPr>
          <w:p>
            <w:r>
              <w:t>Highest confidence for the applicable scope.</w:t>
            </w:r>
          </w:p>
        </w:tc>
      </w:tr>
      <w:tr>
        <w:tc>
          <w:tcPr>
            <w:tcW w:type="dxa" w:w="3360"/>
          </w:tcPr>
          <w:p>
            <w:r>
              <w:t>DEPRECATED</w:t>
            </w:r>
          </w:p>
        </w:tc>
        <w:tc>
          <w:tcPr>
            <w:tcW w:type="dxa" w:w="3360"/>
          </w:tcPr>
          <w:p>
            <w:r>
              <w:t>Superseded by a newer document.</w:t>
            </w:r>
          </w:p>
        </w:tc>
        <w:tc>
          <w:tcPr>
            <w:tcW w:type="dxa" w:w="3360"/>
          </w:tcPr>
          <w:p>
            <w:r>
              <w:t>Do not use for current implementation.</w:t>
            </w:r>
          </w:p>
        </w:tc>
      </w:tr>
      <w:tr>
        <w:tc>
          <w:tcPr>
            <w:tcW w:type="dxa" w:w="3360"/>
          </w:tcPr>
          <w:p>
            <w:r>
              <w:t>ARCHIVED</w:t>
            </w:r>
          </w:p>
        </w:tc>
        <w:tc>
          <w:tcPr>
            <w:tcW w:type="dxa" w:w="3360"/>
          </w:tcPr>
          <w:p>
            <w:r>
              <w:t>Retained for historical/reference purposes.</w:t>
            </w:r>
          </w:p>
        </w:tc>
        <w:tc>
          <w:tcPr>
            <w:tcW w:type="dxa" w:w="3360"/>
          </w:tcPr>
          <w:p>
            <w:r>
              <w:t>Do not use unless history is explicitly requested.</w:t>
            </w:r>
          </w:p>
        </w:tc>
      </w:tr>
    </w:tbl>
    <w:p>
      <w:pPr>
        <w:pStyle w:val="Heading1"/>
      </w:pPr>
      <w:r>
        <w:t>4. Master Documentation Hierarchy</w:t>
      </w:r>
    </w:p>
    <w:p>
      <w:r>
        <w:t>The project documentation is organized into the following controlled volumes: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ID</w:t>
            </w:r>
          </w:p>
        </w:tc>
        <w:tc>
          <w:tcPr>
            <w:tcW w:type="dxa" w:w="2016"/>
          </w:tcPr>
          <w:p>
            <w:r>
              <w:t>Volume / Area</w:t>
            </w:r>
          </w:p>
        </w:tc>
        <w:tc>
          <w:tcPr>
            <w:tcW w:type="dxa" w:w="2016"/>
          </w:tcPr>
          <w:p>
            <w:r>
              <w:t>Primary Purpose</w:t>
            </w:r>
          </w:p>
        </w:tc>
        <w:tc>
          <w:tcPr>
            <w:tcW w:type="dxa" w:w="2016"/>
          </w:tcPr>
          <w:p>
            <w:r>
              <w:t>Authority</w:t>
            </w:r>
          </w:p>
        </w:tc>
        <w:tc>
          <w:tcPr>
            <w:tcW w:type="dxa" w:w="2016"/>
          </w:tcPr>
          <w:p>
            <w:r>
              <w:t>Status</w:t>
            </w:r>
          </w:p>
        </w:tc>
      </w:tr>
      <w:tr>
        <w:tc>
          <w:tcPr>
            <w:tcW w:type="dxa" w:w="2016"/>
          </w:tcPr>
          <w:p>
            <w:r>
              <w:t>00</w:t>
            </w:r>
          </w:p>
        </w:tc>
        <w:tc>
          <w:tcPr>
            <w:tcW w:type="dxa" w:w="2016"/>
          </w:tcPr>
          <w:p>
            <w:r>
              <w:t>Governance</w:t>
            </w:r>
          </w:p>
        </w:tc>
        <w:tc>
          <w:tcPr>
            <w:tcW w:type="dxa" w:w="2016"/>
          </w:tcPr>
          <w:p>
            <w:r>
              <w:t>Project control, source-of-truth, change management, AI rules</w:t>
            </w:r>
          </w:p>
        </w:tc>
        <w:tc>
          <w:tcPr>
            <w:tcW w:type="dxa" w:w="2016"/>
          </w:tcPr>
          <w:p>
            <w:r>
              <w:t>Project governance</w:t>
            </w:r>
          </w:p>
        </w:tc>
        <w:tc>
          <w:tcPr>
            <w:tcW w:type="dxa" w:w="2016"/>
          </w:tcPr>
          <w:p>
            <w:r>
              <w:t>BASELINED</w:t>
            </w:r>
          </w:p>
        </w:tc>
      </w:tr>
      <w:tr>
        <w:tc>
          <w:tcPr>
            <w:tcW w:type="dxa" w:w="2016"/>
          </w:tcPr>
          <w:p>
            <w:r>
              <w:t>01</w:t>
            </w:r>
          </w:p>
        </w:tc>
        <w:tc>
          <w:tcPr>
            <w:tcW w:type="dxa" w:w="2016"/>
          </w:tcPr>
          <w:p>
            <w:r>
              <w:t>Product Requirements</w:t>
            </w:r>
          </w:p>
        </w:tc>
        <w:tc>
          <w:tcPr>
            <w:tcW w:type="dxa" w:w="2016"/>
          </w:tcPr>
          <w:p>
            <w:r>
              <w:t>Business objectives, users, functional/non-functional requirements</w:t>
            </w:r>
          </w:p>
        </w:tc>
        <w:tc>
          <w:tcPr>
            <w:tcW w:type="dxa" w:w="2016"/>
          </w:tcPr>
          <w:p>
            <w:r>
              <w:t>Product requirements</w:t>
            </w:r>
          </w:p>
        </w:tc>
        <w:tc>
          <w:tcPr>
            <w:tcW w:type="dxa" w:w="2016"/>
          </w:tcPr>
          <w:p>
            <w:r>
              <w:t>CONTROLLED</w:t>
            </w:r>
          </w:p>
        </w:tc>
      </w:tr>
      <w:tr>
        <w:tc>
          <w:tcPr>
            <w:tcW w:type="dxa" w:w="2016"/>
          </w:tcPr>
          <w:p>
            <w:r>
              <w:t>02</w:t>
            </w:r>
          </w:p>
        </w:tc>
        <w:tc>
          <w:tcPr>
            <w:tcW w:type="dxa" w:w="2016"/>
          </w:tcPr>
          <w:p>
            <w:r>
              <w:t>System Architecture</w:t>
            </w:r>
          </w:p>
        </w:tc>
        <w:tc>
          <w:tcPr>
            <w:tcW w:type="dxa" w:w="2016"/>
          </w:tcPr>
          <w:p>
            <w:r>
              <w:t>System boundaries, components, integrations, architectural decisions</w:t>
            </w:r>
          </w:p>
        </w:tc>
        <w:tc>
          <w:tcPr>
            <w:tcW w:type="dxa" w:w="2016"/>
          </w:tcPr>
          <w:p>
            <w:r>
              <w:t>Architecture</w:t>
            </w:r>
          </w:p>
        </w:tc>
        <w:tc>
          <w:tcPr>
            <w:tcW w:type="dxa" w:w="2016"/>
          </w:tcPr>
          <w:p>
            <w:r>
              <w:t>CONTROLLED</w:t>
            </w:r>
          </w:p>
        </w:tc>
      </w:tr>
      <w:tr>
        <w:tc>
          <w:tcPr>
            <w:tcW w:type="dxa" w:w="2016"/>
          </w:tcPr>
          <w:p>
            <w:r>
              <w:t>03</w:t>
            </w:r>
          </w:p>
        </w:tc>
        <w:tc>
          <w:tcPr>
            <w:tcW w:type="dxa" w:w="2016"/>
          </w:tcPr>
          <w:p>
            <w:r>
              <w:t>Technical Design</w:t>
            </w:r>
          </w:p>
        </w:tc>
        <w:tc>
          <w:tcPr>
            <w:tcW w:type="dxa" w:w="2016"/>
          </w:tcPr>
          <w:p>
            <w:r>
              <w:t>Detailed application and infrastructure design</w:t>
            </w:r>
          </w:p>
        </w:tc>
        <w:tc>
          <w:tcPr>
            <w:tcW w:type="dxa" w:w="2016"/>
          </w:tcPr>
          <w:p>
            <w:r>
              <w:t>Technical design</w:t>
            </w:r>
          </w:p>
        </w:tc>
        <w:tc>
          <w:tcPr>
            <w:tcW w:type="dxa" w:w="2016"/>
          </w:tcPr>
          <w:p>
            <w:r>
              <w:t>CONTROLLED</w:t>
            </w:r>
          </w:p>
        </w:tc>
      </w:tr>
      <w:tr>
        <w:tc>
          <w:tcPr>
            <w:tcW w:type="dxa" w:w="2016"/>
          </w:tcPr>
          <w:p>
            <w:r>
              <w:t>04</w:t>
            </w:r>
          </w:p>
        </w:tc>
        <w:tc>
          <w:tcPr>
            <w:tcW w:type="dxa" w:w="2016"/>
          </w:tcPr>
          <w:p>
            <w:r>
              <w:t>Database Design</w:t>
            </w:r>
          </w:p>
        </w:tc>
        <w:tc>
          <w:tcPr>
            <w:tcW w:type="dxa" w:w="2016"/>
          </w:tcPr>
          <w:p>
            <w:r>
              <w:t>Schema, relationships, constraints, indexes, migrations</w:t>
            </w:r>
          </w:p>
        </w:tc>
        <w:tc>
          <w:tcPr>
            <w:tcW w:type="dxa" w:w="2016"/>
          </w:tcPr>
          <w:p>
            <w:r>
              <w:t>Database design</w:t>
            </w:r>
          </w:p>
        </w:tc>
        <w:tc>
          <w:tcPr>
            <w:tcW w:type="dxa" w:w="2016"/>
          </w:tcPr>
          <w:p>
            <w:r>
              <w:t>CONTROLLED</w:t>
            </w:r>
          </w:p>
        </w:tc>
      </w:tr>
      <w:tr>
        <w:tc>
          <w:tcPr>
            <w:tcW w:type="dxa" w:w="2016"/>
          </w:tcPr>
          <w:p>
            <w:r>
              <w:t>05</w:t>
            </w:r>
          </w:p>
        </w:tc>
        <w:tc>
          <w:tcPr>
            <w:tcW w:type="dxa" w:w="2016"/>
          </w:tcPr>
          <w:p>
            <w:r>
              <w:t>Domain Specifications</w:t>
            </w:r>
          </w:p>
        </w:tc>
        <w:tc>
          <w:tcPr>
            <w:tcW w:type="dxa" w:w="2016"/>
          </w:tcPr>
          <w:p>
            <w:r>
              <w:t>Domain-specific business rules and workflows</w:t>
            </w:r>
          </w:p>
        </w:tc>
        <w:tc>
          <w:tcPr>
            <w:tcW w:type="dxa" w:w="2016"/>
          </w:tcPr>
          <w:p>
            <w:r>
              <w:t>Domain specification</w:t>
            </w:r>
          </w:p>
        </w:tc>
        <w:tc>
          <w:tcPr>
            <w:tcW w:type="dxa" w:w="2016"/>
          </w:tcPr>
          <w:p>
            <w:r>
              <w:t>CONTROLLED</w:t>
            </w:r>
          </w:p>
        </w:tc>
      </w:tr>
      <w:tr>
        <w:tc>
          <w:tcPr>
            <w:tcW w:type="dxa" w:w="2016"/>
          </w:tcPr>
          <w:p>
            <w:r>
              <w:t>06</w:t>
            </w:r>
          </w:p>
        </w:tc>
        <w:tc>
          <w:tcPr>
            <w:tcW w:type="dxa" w:w="2016"/>
          </w:tcPr>
          <w:p>
            <w:r>
              <w:t>API Specification</w:t>
            </w:r>
          </w:p>
        </w:tc>
        <w:tc>
          <w:tcPr>
            <w:tcW w:type="dxa" w:w="2016"/>
          </w:tcPr>
          <w:p>
            <w:r>
              <w:t>External/internal API contracts</w:t>
            </w:r>
          </w:p>
        </w:tc>
        <w:tc>
          <w:tcPr>
            <w:tcW w:type="dxa" w:w="2016"/>
          </w:tcPr>
          <w:p>
            <w:r>
              <w:t>API contract</w:t>
            </w:r>
          </w:p>
        </w:tc>
        <w:tc>
          <w:tcPr>
            <w:tcW w:type="dxa" w:w="2016"/>
          </w:tcPr>
          <w:p>
            <w:r>
              <w:t>CONTROLLED</w:t>
            </w:r>
          </w:p>
        </w:tc>
      </w:tr>
      <w:tr>
        <w:tc>
          <w:tcPr>
            <w:tcW w:type="dxa" w:w="2016"/>
          </w:tcPr>
          <w:p>
            <w:r>
              <w:t>07</w:t>
            </w:r>
          </w:p>
        </w:tc>
        <w:tc>
          <w:tcPr>
            <w:tcW w:type="dxa" w:w="2016"/>
          </w:tcPr>
          <w:p>
            <w:r>
              <w:t>Security &amp; Privacy</w:t>
            </w:r>
          </w:p>
        </w:tc>
        <w:tc>
          <w:tcPr>
            <w:tcW w:type="dxa" w:w="2016"/>
          </w:tcPr>
          <w:p>
            <w:r>
              <w:t>Security architecture, privacy, access control, threat controls</w:t>
            </w:r>
          </w:p>
        </w:tc>
        <w:tc>
          <w:tcPr>
            <w:tcW w:type="dxa" w:w="2016"/>
          </w:tcPr>
          <w:p>
            <w:r>
              <w:t>Security requirements</w:t>
            </w:r>
          </w:p>
        </w:tc>
        <w:tc>
          <w:tcPr>
            <w:tcW w:type="dxa" w:w="2016"/>
          </w:tcPr>
          <w:p>
            <w:r>
              <w:t>CONTROLLED</w:t>
            </w:r>
          </w:p>
        </w:tc>
      </w:tr>
      <w:tr>
        <w:tc>
          <w:tcPr>
            <w:tcW w:type="dxa" w:w="2016"/>
          </w:tcPr>
          <w:p>
            <w:r>
              <w:t>08</w:t>
            </w:r>
          </w:p>
        </w:tc>
        <w:tc>
          <w:tcPr>
            <w:tcW w:type="dxa" w:w="2016"/>
          </w:tcPr>
          <w:p>
            <w:r>
              <w:t>Testing &amp; QA</w:t>
            </w:r>
          </w:p>
        </w:tc>
        <w:tc>
          <w:tcPr>
            <w:tcW w:type="dxa" w:w="2016"/>
          </w:tcPr>
          <w:p>
            <w:r>
              <w:t>Test strategy, cases, automation, acceptance criteria</w:t>
            </w:r>
          </w:p>
        </w:tc>
        <w:tc>
          <w:tcPr>
            <w:tcW w:type="dxa" w:w="2016"/>
          </w:tcPr>
          <w:p>
            <w:r>
              <w:t>QA/test strategy</w:t>
            </w:r>
          </w:p>
        </w:tc>
        <w:tc>
          <w:tcPr>
            <w:tcW w:type="dxa" w:w="2016"/>
          </w:tcPr>
          <w:p>
            <w:r>
              <w:t>CONTROLLED</w:t>
            </w:r>
          </w:p>
        </w:tc>
      </w:tr>
      <w:tr>
        <w:tc>
          <w:tcPr>
            <w:tcW w:type="dxa" w:w="2016"/>
          </w:tcPr>
          <w:p>
            <w:r>
              <w:t>09</w:t>
            </w:r>
          </w:p>
        </w:tc>
        <w:tc>
          <w:tcPr>
            <w:tcW w:type="dxa" w:w="2016"/>
          </w:tcPr>
          <w:p>
            <w:r>
              <w:t>Deployment &amp; DevOps</w:t>
            </w:r>
          </w:p>
        </w:tc>
        <w:tc>
          <w:tcPr>
            <w:tcW w:type="dxa" w:w="2016"/>
          </w:tcPr>
          <w:p>
            <w:r>
              <w:t>Environments, CI/CD, infrastructure, monitoring, rollback</w:t>
            </w:r>
          </w:p>
        </w:tc>
        <w:tc>
          <w:tcPr>
            <w:tcW w:type="dxa" w:w="2016"/>
          </w:tcPr>
          <w:p>
            <w:r>
              <w:t>Operations</w:t>
            </w:r>
          </w:p>
        </w:tc>
        <w:tc>
          <w:tcPr>
            <w:tcW w:type="dxa" w:w="2016"/>
          </w:tcPr>
          <w:p>
            <w:r>
              <w:t>CONTROLLED</w:t>
            </w:r>
          </w:p>
        </w:tc>
      </w:tr>
      <w:tr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Change Log</w:t>
            </w:r>
          </w:p>
        </w:tc>
        <w:tc>
          <w:tcPr>
            <w:tcW w:type="dxa" w:w="2016"/>
          </w:tcPr>
          <w:p>
            <w:r>
              <w:t>Approved changes, ADR references, implementation history</w:t>
            </w:r>
          </w:p>
        </w:tc>
        <w:tc>
          <w:tcPr>
            <w:tcW w:type="dxa" w:w="2016"/>
          </w:tcPr>
          <w:p>
            <w:r>
              <w:t>Governance record</w:t>
            </w:r>
          </w:p>
        </w:tc>
        <w:tc>
          <w:tcPr>
            <w:tcW w:type="dxa" w:w="2016"/>
          </w:tcPr>
          <w:p>
            <w:r>
              <w:t>CONTROLLED</w:t>
            </w:r>
          </w:p>
        </w:tc>
      </w:tr>
    </w:tbl>
    <w:p>
      <w:pPr>
        <w:pStyle w:val="Heading1"/>
      </w:pPr>
      <w:r>
        <w:t>5. Volume 00 —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Document ID</w:t>
            </w:r>
          </w:p>
        </w:tc>
        <w:tc>
          <w:tcPr>
            <w:tcW w:type="dxa" w:w="2520"/>
          </w:tcPr>
          <w:p>
            <w:r>
              <w:t>Document</w:t>
            </w:r>
          </w:p>
        </w:tc>
        <w:tc>
          <w:tcPr>
            <w:tcW w:type="dxa" w:w="2520"/>
          </w:tcPr>
          <w:p>
            <w:r>
              <w:t>Purpose</w:t>
            </w:r>
          </w:p>
        </w:tc>
        <w:tc>
          <w:tcPr>
            <w:tcW w:type="dxa" w:w="2520"/>
          </w:tcPr>
          <w:p>
            <w:r>
              <w:t>Status</w:t>
            </w:r>
          </w:p>
        </w:tc>
      </w:tr>
      <w:tr>
        <w:tc>
          <w:tcPr>
            <w:tcW w:type="dxa" w:w="2520"/>
          </w:tcPr>
          <w:p>
            <w:r>
              <w:t>TDA-GOV-MDI-001</w:t>
            </w:r>
          </w:p>
        </w:tc>
        <w:tc>
          <w:tcPr>
            <w:tcW w:type="dxa" w:w="2520"/>
          </w:tcPr>
          <w:p>
            <w:r>
              <w:t>Master Documentation Index</w:t>
            </w:r>
          </w:p>
        </w:tc>
        <w:tc>
          <w:tcPr>
            <w:tcW w:type="dxa" w:w="2520"/>
          </w:tcPr>
          <w:p>
            <w:r>
              <w:t>This document; catalogue and navigation map.</w:t>
            </w:r>
          </w:p>
        </w:tc>
        <w:tc>
          <w:tcPr>
            <w:tcW w:type="dxa" w:w="2520"/>
          </w:tcPr>
          <w:p>
            <w:r>
              <w:t>BASELINED</w:t>
            </w:r>
          </w:p>
        </w:tc>
      </w:tr>
      <w:tr>
        <w:tc>
          <w:tcPr>
            <w:tcW w:type="dxa" w:w="2520"/>
          </w:tcPr>
          <w:p>
            <w:r>
              <w:t>TDA-GOV-SOT-001</w:t>
            </w:r>
          </w:p>
        </w:tc>
        <w:tc>
          <w:tcPr>
            <w:tcW w:type="dxa" w:w="2520"/>
          </w:tcPr>
          <w:p>
            <w:r>
              <w:t>Source-of-Truth Policy</w:t>
            </w:r>
          </w:p>
        </w:tc>
        <w:tc>
          <w:tcPr>
            <w:tcW w:type="dxa" w:w="2520"/>
          </w:tcPr>
          <w:p>
            <w:r>
              <w:t>Defines precedence and conflict handling.</w:t>
            </w:r>
          </w:p>
        </w:tc>
        <w:tc>
          <w:tcPr>
            <w:tcW w:type="dxa" w:w="2520"/>
          </w:tcPr>
          <w:p>
            <w:r>
              <w:t>PLANNED</w:t>
            </w:r>
          </w:p>
        </w:tc>
      </w:tr>
      <w:tr>
        <w:tc>
          <w:tcPr>
            <w:tcW w:type="dxa" w:w="2520"/>
          </w:tcPr>
          <w:p>
            <w:r>
              <w:t>TDA-GOV-CMP-001</w:t>
            </w:r>
          </w:p>
        </w:tc>
        <w:tc>
          <w:tcPr>
            <w:tcW w:type="dxa" w:w="2520"/>
          </w:tcPr>
          <w:p>
            <w:r>
              <w:t>Change Management Policy</w:t>
            </w:r>
          </w:p>
        </w:tc>
        <w:tc>
          <w:tcPr>
            <w:tcW w:type="dxa" w:w="2520"/>
          </w:tcPr>
          <w:p>
            <w:r>
              <w:t>Defines controlled change and approvals.</w:t>
            </w:r>
          </w:p>
        </w:tc>
        <w:tc>
          <w:tcPr>
            <w:tcW w:type="dxa" w:w="2520"/>
          </w:tcPr>
          <w:p>
            <w:r>
              <w:t>PLANNED</w:t>
            </w:r>
          </w:p>
        </w:tc>
      </w:tr>
      <w:tr>
        <w:tc>
          <w:tcPr>
            <w:tcW w:type="dxa" w:w="2520"/>
          </w:tcPr>
          <w:p>
            <w:r>
              <w:t>TDA-GOV-CUR-001</w:t>
            </w:r>
          </w:p>
        </w:tc>
        <w:tc>
          <w:tcPr>
            <w:tcW w:type="dxa" w:w="2520"/>
          </w:tcPr>
          <w:p>
            <w:r>
              <w:t>Cursor Project Rules</w:t>
            </w:r>
          </w:p>
        </w:tc>
        <w:tc>
          <w:tcPr>
            <w:tcW w:type="dxa" w:w="2520"/>
          </w:tcPr>
          <w:p>
            <w:r>
              <w:t>Operational rules for Cursor AI.</w:t>
            </w:r>
          </w:p>
        </w:tc>
        <w:tc>
          <w:tcPr>
            <w:tcW w:type="dxa" w:w="2520"/>
          </w:tcPr>
          <w:p>
            <w:r>
              <w:t>PLANNED</w:t>
            </w:r>
          </w:p>
        </w:tc>
      </w:tr>
      <w:tr>
        <w:tc>
          <w:tcPr>
            <w:tcW w:type="dxa" w:w="2520"/>
          </w:tcPr>
          <w:p>
            <w:r>
              <w:t>TDA-GOV-ADR-###</w:t>
            </w:r>
          </w:p>
        </w:tc>
        <w:tc>
          <w:tcPr>
            <w:tcW w:type="dxa" w:w="2520"/>
          </w:tcPr>
          <w:p>
            <w:r>
              <w:t>Architecture Decision Records</w:t>
            </w:r>
          </w:p>
        </w:tc>
        <w:tc>
          <w:tcPr>
            <w:tcW w:type="dxa" w:w="2520"/>
          </w:tcPr>
          <w:p>
            <w:r>
              <w:t>Records material architectural decisions and rationale.</w:t>
            </w:r>
          </w:p>
        </w:tc>
        <w:tc>
          <w:tcPr>
            <w:tcW w:type="dxa" w:w="2520"/>
          </w:tcPr>
          <w:p>
            <w:r>
              <w:t>AS NEEDED</w:t>
            </w:r>
          </w:p>
        </w:tc>
      </w:tr>
    </w:tbl>
    <w:p>
      <w:pPr>
        <w:pStyle w:val="Heading1"/>
      </w:pPr>
      <w:r>
        <w:t>6. Volume 01 — Product Requirements</w:t>
      </w:r>
    </w:p>
    <w:p>
      <w:pPr>
        <w:pStyle w:val="ListBullet"/>
      </w:pPr>
      <w:r>
        <w:t>Product Requirements Document (PRD) — Product vision, objectives, scope, stakeholders, user roles and requirements.</w:t>
      </w:r>
    </w:p>
    <w:p>
      <w:pPr>
        <w:pStyle w:val="ListBullet"/>
      </w:pPr>
      <w:r>
        <w:t>Business Requirements Document (BRD) — Business processes, outcomes, constraints and operational requirements.</w:t>
      </w:r>
    </w:p>
    <w:p>
      <w:pPr>
        <w:pStyle w:val="ListBullet"/>
      </w:pPr>
      <w:r>
        <w:t>User Stories &amp; Acceptance Criteria — Traceable user-centric requirements.</w:t>
      </w:r>
    </w:p>
    <w:p>
      <w:pPr>
        <w:pStyle w:val="ListBullet"/>
      </w:pPr>
      <w:r>
        <w:t>Non-Functional Requirements — Performance, availability, scalability, usability, maintainability and reliability.</w:t>
      </w:r>
    </w:p>
    <w:p>
      <w:pPr>
        <w:pStyle w:val="Heading1"/>
      </w:pPr>
      <w:r>
        <w:t>7. Volume 02 — System Architecture</w:t>
      </w:r>
    </w:p>
    <w:p>
      <w:pPr>
        <w:pStyle w:val="ListBullet"/>
      </w:pPr>
      <w:r>
        <w:t>System Architecture Document (SAD) — Logical and physical architecture.</w:t>
      </w:r>
    </w:p>
    <w:p>
      <w:pPr>
        <w:pStyle w:val="ListBullet"/>
      </w:pPr>
      <w:r>
        <w:t>Architecture Context &amp; Container Views — System boundaries and major components.</w:t>
      </w:r>
    </w:p>
    <w:p>
      <w:pPr>
        <w:pStyle w:val="ListBullet"/>
      </w:pPr>
      <w:r>
        <w:t>Integration Architecture — External services and integration patterns.</w:t>
      </w:r>
    </w:p>
    <w:p>
      <w:pPr>
        <w:pStyle w:val="ListBullet"/>
      </w:pPr>
      <w:r>
        <w:t>Architecture Decision Records (ADRs) — Important decisions, alternatives, consequences and rationale.</w:t>
      </w:r>
    </w:p>
    <w:p>
      <w:pPr>
        <w:pStyle w:val="Heading1"/>
      </w:pPr>
      <w:r>
        <w:t>8. Volume 03 — Technical Design</w:t>
      </w:r>
    </w:p>
    <w:p>
      <w:pPr>
        <w:pStyle w:val="ListBullet"/>
      </w:pPr>
      <w:r>
        <w:t>Technical Design Document (TDD) — Application structure and technical implementation design.</w:t>
      </w:r>
    </w:p>
    <w:p>
      <w:pPr>
        <w:pStyle w:val="ListBullet"/>
      </w:pPr>
      <w:r>
        <w:t>Frontend Design — Screens, navigation, state management and client architecture.</w:t>
      </w:r>
    </w:p>
    <w:p>
      <w:pPr>
        <w:pStyle w:val="ListBullet"/>
      </w:pPr>
      <w:r>
        <w:t>Backend Design — Services, domain/application layers, transactions and infrastructure.</w:t>
      </w:r>
    </w:p>
    <w:p>
      <w:pPr>
        <w:pStyle w:val="ListBullet"/>
      </w:pPr>
      <w:r>
        <w:t>Notification Architecture — Outbox, dispatcher, providers, retries and delivery status.</w:t>
      </w:r>
    </w:p>
    <w:p>
      <w:pPr>
        <w:pStyle w:val="Heading1"/>
      </w:pPr>
      <w:r>
        <w:t>9. Volume 04 — Database Design</w:t>
      </w:r>
    </w:p>
    <w:p>
      <w:r>
        <w:t>Database design is maintained domain-by-domain to avoid a monolithic uncontrolled schema document.</w:t>
      </w:r>
    </w:p>
    <w:p>
      <w:pPr>
        <w:pStyle w:val="ListBullet"/>
      </w:pPr>
      <w:r>
        <w:t>Domain 1 — Foundation &amp; Identity</w:t>
      </w:r>
    </w:p>
    <w:p>
      <w:pPr>
        <w:pStyle w:val="ListBullet"/>
      </w:pPr>
      <w:r>
        <w:t>Domain 2 — Patient</w:t>
      </w:r>
    </w:p>
    <w:p>
      <w:pPr>
        <w:pStyle w:val="ListBullet"/>
      </w:pPr>
      <w:r>
        <w:t>Domain 3 — Dentist</w:t>
      </w:r>
    </w:p>
    <w:p>
      <w:pPr>
        <w:pStyle w:val="ListBullet"/>
      </w:pPr>
      <w:r>
        <w:t>Domain 4 — Appointment</w:t>
      </w:r>
    </w:p>
    <w:p>
      <w:pPr>
        <w:pStyle w:val="ListBullet"/>
      </w:pPr>
      <w:r>
        <w:t>Domain 5 — Notification</w:t>
      </w:r>
    </w:p>
    <w:p>
      <w:pPr>
        <w:pStyle w:val="ListBullet"/>
      </w:pPr>
      <w:r>
        <w:t>Domain 6 — Payment</w:t>
      </w:r>
    </w:p>
    <w:p>
      <w:pPr>
        <w:pStyle w:val="ListBullet"/>
      </w:pPr>
      <w:r>
        <w:t>Domain 7 — Audit &amp; History</w:t>
      </w:r>
    </w:p>
    <w:p>
      <w:pPr>
        <w:pStyle w:val="ListBullet"/>
      </w:pPr>
      <w:r>
        <w:t>Domain 8 — Administration</w:t>
      </w:r>
    </w:p>
    <w:p>
      <w:pPr>
        <w:pStyle w:val="Heading1"/>
      </w:pPr>
      <w:r>
        <w:t>10. Volume 05 — Domain Specifications</w:t>
      </w:r>
    </w:p>
    <w:p>
      <w:pPr>
        <w:pStyle w:val="ListBullet"/>
      </w:pPr>
      <w:r>
        <w:t>Foundation &amp; Identity</w:t>
      </w:r>
    </w:p>
    <w:p>
      <w:pPr>
        <w:pStyle w:val="ListBullet"/>
      </w:pPr>
      <w:r>
        <w:t>Patient Management</w:t>
      </w:r>
    </w:p>
    <w:p>
      <w:pPr>
        <w:pStyle w:val="ListBullet"/>
      </w:pPr>
      <w:r>
        <w:t>Dentist Management</w:t>
      </w:r>
    </w:p>
    <w:p>
      <w:pPr>
        <w:pStyle w:val="ListBullet"/>
      </w:pPr>
      <w:r>
        <w:t>Appointment Management</w:t>
      </w:r>
    </w:p>
    <w:p>
      <w:pPr>
        <w:pStyle w:val="ListBullet"/>
      </w:pPr>
      <w:r>
        <w:t>Notification Management</w:t>
      </w:r>
    </w:p>
    <w:p>
      <w:pPr>
        <w:pStyle w:val="ListBullet"/>
      </w:pPr>
      <w:r>
        <w:t>Payment Management</w:t>
      </w:r>
    </w:p>
    <w:p>
      <w:pPr>
        <w:pStyle w:val="ListBullet"/>
      </w:pPr>
      <w:r>
        <w:t>Audit &amp; History</w:t>
      </w:r>
    </w:p>
    <w:p>
      <w:pPr>
        <w:pStyle w:val="ListBullet"/>
      </w:pPr>
      <w:r>
        <w:t>Administration &amp; Configuration</w:t>
      </w:r>
    </w:p>
    <w:p>
      <w:pPr>
        <w:pStyle w:val="Heading1"/>
      </w:pPr>
      <w:r>
        <w:t>11. Volume 06 — API Specification</w:t>
      </w:r>
    </w:p>
    <w:p>
      <w:pPr>
        <w:pStyle w:val="ListBullet"/>
      </w:pPr>
      <w:r>
        <w:t>API conventions and versioning</w:t>
      </w:r>
    </w:p>
    <w:p>
      <w:pPr>
        <w:pStyle w:val="ListBullet"/>
      </w:pPr>
      <w:r>
        <w:t>Authentication and authorization endpoints</w:t>
      </w:r>
    </w:p>
    <w:p>
      <w:pPr>
        <w:pStyle w:val="ListBullet"/>
      </w:pPr>
      <w:r>
        <w:t>Patient APIs</w:t>
      </w:r>
    </w:p>
    <w:p>
      <w:pPr>
        <w:pStyle w:val="ListBullet"/>
      </w:pPr>
      <w:r>
        <w:t>Dentist APIs</w:t>
      </w:r>
    </w:p>
    <w:p>
      <w:pPr>
        <w:pStyle w:val="ListBullet"/>
      </w:pPr>
      <w:r>
        <w:t>Appointment APIs</w:t>
      </w:r>
    </w:p>
    <w:p>
      <w:pPr>
        <w:pStyle w:val="ListBullet"/>
      </w:pPr>
      <w:r>
        <w:t>Notification APIs</w:t>
      </w:r>
    </w:p>
    <w:p>
      <w:pPr>
        <w:pStyle w:val="ListBullet"/>
      </w:pPr>
      <w:r>
        <w:t>Payment APIs</w:t>
      </w:r>
    </w:p>
    <w:p>
      <w:pPr>
        <w:pStyle w:val="ListBullet"/>
      </w:pPr>
      <w:r>
        <w:t>Administration APIs</w:t>
      </w:r>
    </w:p>
    <w:p>
      <w:pPr>
        <w:pStyle w:val="ListBullet"/>
      </w:pPr>
      <w:r>
        <w:t>Error model and validation contract</w:t>
      </w:r>
    </w:p>
    <w:p>
      <w:pPr>
        <w:pStyle w:val="ListBullet"/>
      </w:pPr>
      <w:r>
        <w:t>Idempotency and concurrency rules</w:t>
      </w:r>
    </w:p>
    <w:p>
      <w:pPr>
        <w:pStyle w:val="Heading1"/>
      </w:pPr>
      <w:r>
        <w:t>12. Volume 07 — Security &amp; Privacy</w:t>
      </w:r>
    </w:p>
    <w:p>
      <w:pPr>
        <w:pStyle w:val="ListBullet"/>
      </w:pPr>
      <w:r>
        <w:t>Security Architecture</w:t>
      </w:r>
    </w:p>
    <w:p>
      <w:pPr>
        <w:pStyle w:val="ListBullet"/>
      </w:pPr>
      <w:r>
        <w:t>Identity, Authentication &amp; Authorization</w:t>
      </w:r>
    </w:p>
    <w:p>
      <w:pPr>
        <w:pStyle w:val="ListBullet"/>
      </w:pPr>
      <w:r>
        <w:t>Role/Permission Matrix</w:t>
      </w:r>
    </w:p>
    <w:p>
      <w:pPr>
        <w:pStyle w:val="ListBullet"/>
      </w:pPr>
      <w:r>
        <w:t>Threat Model</w:t>
      </w:r>
    </w:p>
    <w:p>
      <w:pPr>
        <w:pStyle w:val="ListBullet"/>
      </w:pPr>
      <w:r>
        <w:t>Data Protection &amp; Privacy</w:t>
      </w:r>
    </w:p>
    <w:p>
      <w:pPr>
        <w:pStyle w:val="ListBullet"/>
      </w:pPr>
      <w:r>
        <w:t>Secrets Management</w:t>
      </w:r>
    </w:p>
    <w:p>
      <w:pPr>
        <w:pStyle w:val="ListBullet"/>
      </w:pPr>
      <w:r>
        <w:t>Audit &amp; Security Logging</w:t>
      </w:r>
    </w:p>
    <w:p>
      <w:pPr>
        <w:pStyle w:val="ListBullet"/>
      </w:pPr>
      <w:r>
        <w:t>Incident Response</w:t>
      </w:r>
    </w:p>
    <w:p>
      <w:pPr>
        <w:pStyle w:val="Heading1"/>
      </w:pPr>
      <w:r>
        <w:t>13. Volume 08 — Testing &amp; QA</w:t>
      </w:r>
    </w:p>
    <w:p>
      <w:pPr>
        <w:pStyle w:val="ListBullet"/>
      </w:pPr>
      <w:r>
        <w:t>Test Strategy</w:t>
      </w:r>
    </w:p>
    <w:p>
      <w:pPr>
        <w:pStyle w:val="ListBullet"/>
      </w:pPr>
      <w:r>
        <w:t>Unit Test Strategy</w:t>
      </w:r>
    </w:p>
    <w:p>
      <w:pPr>
        <w:pStyle w:val="ListBullet"/>
      </w:pPr>
      <w:r>
        <w:t>Integration/API Testing</w:t>
      </w:r>
    </w:p>
    <w:p>
      <w:pPr>
        <w:pStyle w:val="ListBullet"/>
      </w:pPr>
      <w:r>
        <w:t>Database Testing</w:t>
      </w:r>
    </w:p>
    <w:p>
      <w:pPr>
        <w:pStyle w:val="ListBullet"/>
      </w:pPr>
      <w:r>
        <w:t>End-to-End Testing</w:t>
      </w:r>
    </w:p>
    <w:p>
      <w:pPr>
        <w:pStyle w:val="ListBullet"/>
      </w:pPr>
      <w:r>
        <w:t>Security Testing</w:t>
      </w:r>
    </w:p>
    <w:p>
      <w:pPr>
        <w:pStyle w:val="ListBullet"/>
      </w:pPr>
      <w:r>
        <w:t>Performance Testing</w:t>
      </w:r>
    </w:p>
    <w:p>
      <w:pPr>
        <w:pStyle w:val="ListBullet"/>
      </w:pPr>
      <w:r>
        <w:t>User Acceptance Testing</w:t>
      </w:r>
    </w:p>
    <w:p>
      <w:pPr>
        <w:pStyle w:val="ListBullet"/>
      </w:pPr>
      <w:r>
        <w:t>Regression Test Suite</w:t>
      </w:r>
    </w:p>
    <w:p>
      <w:pPr>
        <w:pStyle w:val="Heading1"/>
      </w:pPr>
      <w:r>
        <w:t>14. Volume 09 — Deployment &amp; DevOps</w:t>
      </w:r>
    </w:p>
    <w:p>
      <w:pPr>
        <w:pStyle w:val="ListBullet"/>
      </w:pPr>
      <w:r>
        <w:t>Environment Strategy</w:t>
      </w:r>
    </w:p>
    <w:p>
      <w:pPr>
        <w:pStyle w:val="ListBullet"/>
      </w:pPr>
      <w:r>
        <w:t>Configuration Management</w:t>
      </w:r>
    </w:p>
    <w:p>
      <w:pPr>
        <w:pStyle w:val="ListBullet"/>
      </w:pPr>
      <w:r>
        <w:t>CI/CD Pipeline</w:t>
      </w:r>
    </w:p>
    <w:p>
      <w:pPr>
        <w:pStyle w:val="ListBullet"/>
      </w:pPr>
      <w:r>
        <w:t>Infrastructure &amp; Hosting</w:t>
      </w:r>
    </w:p>
    <w:p>
      <w:pPr>
        <w:pStyle w:val="ListBullet"/>
      </w:pPr>
      <w:r>
        <w:t>Database Deployment &amp; Migration</w:t>
      </w:r>
    </w:p>
    <w:p>
      <w:pPr>
        <w:pStyle w:val="ListBullet"/>
      </w:pPr>
      <w:r>
        <w:t>Observability / Logging / Monitoring</w:t>
      </w:r>
    </w:p>
    <w:p>
      <w:pPr>
        <w:pStyle w:val="ListBullet"/>
      </w:pPr>
      <w:r>
        <w:t>Backup &amp; Recovery</w:t>
      </w:r>
    </w:p>
    <w:p>
      <w:pPr>
        <w:pStyle w:val="ListBullet"/>
      </w:pPr>
      <w:r>
        <w:t>Rollback &amp; Disaster Recovery</w:t>
      </w:r>
    </w:p>
    <w:p>
      <w:pPr>
        <w:pStyle w:val="Heading1"/>
      </w:pPr>
      <w:r>
        <w:t>15. Volume 10 — Change Log</w:t>
      </w:r>
    </w:p>
    <w:p>
      <w:r>
        <w:t>The Change Log is the chronological record of approved material changes. Each entry should reference the affected document(s), reason, approval, implementation status, and related ADR where applicable.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Change ID</w:t>
            </w:r>
          </w:p>
        </w:tc>
        <w:tc>
          <w:tcPr>
            <w:tcW w:type="dxa" w:w="1680"/>
          </w:tcPr>
          <w:p>
            <w:r>
              <w:t>Date</w:t>
            </w:r>
          </w:p>
        </w:tc>
        <w:tc>
          <w:tcPr>
            <w:tcW w:type="dxa" w:w="1680"/>
          </w:tcPr>
          <w:p>
            <w:r>
              <w:t>Affected Area</w:t>
            </w:r>
          </w:p>
        </w:tc>
        <w:tc>
          <w:tcPr>
            <w:tcW w:type="dxa" w:w="1680"/>
          </w:tcPr>
          <w:p>
            <w:r>
              <w:t>Description</w:t>
            </w:r>
          </w:p>
        </w:tc>
        <w:tc>
          <w:tcPr>
            <w:tcW w:type="dxa" w:w="1680"/>
          </w:tcPr>
          <w:p>
            <w:r>
              <w:t>Approval</w:t>
            </w:r>
          </w:p>
        </w:tc>
        <w:tc>
          <w:tcPr>
            <w:tcW w:type="dxa" w:w="1680"/>
          </w:tcPr>
          <w:p>
            <w:r>
              <w:t>Status</w:t>
            </w:r>
          </w:p>
        </w:tc>
      </w:tr>
      <w:tr>
        <w:tc>
          <w:tcPr>
            <w:tcW w:type="dxa" w:w="1680"/>
          </w:tcPr>
          <w:p>
            <w:r>
              <w:t>CHG-0001</w:t>
            </w:r>
          </w:p>
        </w:tc>
        <w:tc>
          <w:tcPr>
            <w:tcW w:type="dxa" w:w="1680"/>
          </w:tcPr>
          <w:p>
            <w:r>
              <w:t>YYYY-MM-DD</w:t>
            </w:r>
          </w:p>
        </w:tc>
        <w:tc>
          <w:tcPr>
            <w:tcW w:type="dxa" w:w="1680"/>
          </w:tcPr>
          <w:p>
            <w:r>
              <w:t>&lt;area&gt;</w:t>
            </w:r>
          </w:p>
        </w:tc>
        <w:tc>
          <w:tcPr>
            <w:tcW w:type="dxa" w:w="1680"/>
          </w:tcPr>
          <w:p>
            <w:r>
              <w:t>&lt;change&gt;</w:t>
            </w:r>
          </w:p>
        </w:tc>
        <w:tc>
          <w:tcPr>
            <w:tcW w:type="dxa" w:w="1680"/>
          </w:tcPr>
          <w:p>
            <w:r>
              <w:t>&lt;approver&gt;</w:t>
            </w:r>
          </w:p>
        </w:tc>
        <w:tc>
          <w:tcPr>
            <w:tcW w:type="dxa" w:w="1680"/>
          </w:tcPr>
          <w:p>
            <w:r>
              <w:t>PLANNED</w:t>
            </w:r>
          </w:p>
        </w:tc>
      </w:tr>
    </w:tbl>
    <w:p>
      <w:pPr>
        <w:pStyle w:val="Heading1"/>
      </w:pPr>
      <w:r>
        <w:t>16. Traceability Model</w:t>
      </w:r>
    </w:p>
    <w:p>
      <w:r>
        <w:t>Every material feature should be traceable through the following chain:</w:t>
      </w:r>
    </w:p>
    <w:p>
      <w:r>
        <w:rPr>
          <w:b/>
        </w:rPr>
        <w:t>Requirement → Domain Rule → Architecture → Technical Design → Database/API → Code → Test → Release</w:t>
      </w:r>
    </w:p>
    <w:p>
      <w:r>
        <w:t>A missing link does not automatically block work, but it must be identified. Critical production changes should not bypass traceability without explicit approval.</w:t>
      </w:r>
    </w:p>
    <w:p>
      <w:pPr>
        <w:pStyle w:val="Heading1"/>
      </w:pPr>
      <w:r>
        <w:t>17. Cursor Context Map</w:t>
      </w:r>
    </w:p>
    <w:p>
      <w:r>
        <w:t>Cursor should normally load documentation according to the current task: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Task Type</w:t>
            </w:r>
          </w:p>
        </w:tc>
        <w:tc>
          <w:tcPr>
            <w:tcW w:type="dxa" w:w="3360"/>
          </w:tcPr>
          <w:p>
            <w:r>
              <w:t>Primary Context</w:t>
            </w:r>
          </w:p>
        </w:tc>
        <w:tc>
          <w:tcPr>
            <w:tcW w:type="dxa" w:w="3360"/>
          </w:tcPr>
          <w:p>
            <w:r>
              <w:t>Supporting Context</w:t>
            </w:r>
          </w:p>
        </w:tc>
      </w:tr>
      <w:tr>
        <w:tc>
          <w:tcPr>
            <w:tcW w:type="dxa" w:w="3360"/>
          </w:tcPr>
          <w:p>
            <w:r>
              <w:t>New feature</w:t>
            </w:r>
          </w:p>
        </w:tc>
        <w:tc>
          <w:tcPr>
            <w:tcW w:type="dxa" w:w="3360"/>
          </w:tcPr>
          <w:p>
            <w:r>
              <w:t>Relevant PRD + domain specification</w:t>
            </w:r>
          </w:p>
        </w:tc>
        <w:tc>
          <w:tcPr>
            <w:tcW w:type="dxa" w:w="3360"/>
          </w:tcPr>
          <w:p>
            <w:r>
              <w:t>TDD + DDD + API + tests</w:t>
            </w:r>
          </w:p>
        </w:tc>
      </w:tr>
      <w:tr>
        <w:tc>
          <w:tcPr>
            <w:tcW w:type="dxa" w:w="3360"/>
          </w:tcPr>
          <w:p>
            <w:r>
              <w:t>Database change</w:t>
            </w:r>
          </w:p>
        </w:tc>
        <w:tc>
          <w:tcPr>
            <w:tcW w:type="dxa" w:w="3360"/>
          </w:tcPr>
          <w:p>
            <w:r>
              <w:t>DDD + approved requirement</w:t>
            </w:r>
          </w:p>
        </w:tc>
        <w:tc>
          <w:tcPr>
            <w:tcW w:type="dxa" w:w="3360"/>
          </w:tcPr>
          <w:p>
            <w:r>
              <w:t>TDD + migration conventions + tests</w:t>
            </w:r>
          </w:p>
        </w:tc>
      </w:tr>
      <w:tr>
        <w:tc>
          <w:tcPr>
            <w:tcW w:type="dxa" w:w="3360"/>
          </w:tcPr>
          <w:p>
            <w:r>
              <w:t>API change</w:t>
            </w:r>
          </w:p>
        </w:tc>
        <w:tc>
          <w:tcPr>
            <w:tcW w:type="dxa" w:w="3360"/>
          </w:tcPr>
          <w:p>
            <w:r>
              <w:t>API specification + domain rule</w:t>
            </w:r>
          </w:p>
        </w:tc>
        <w:tc>
          <w:tcPr>
            <w:tcW w:type="dxa" w:w="3360"/>
          </w:tcPr>
          <w:p>
            <w:r>
              <w:t>TDD + security + tests</w:t>
            </w:r>
          </w:p>
        </w:tc>
      </w:tr>
      <w:tr>
        <w:tc>
          <w:tcPr>
            <w:tcW w:type="dxa" w:w="3360"/>
          </w:tcPr>
          <w:p>
            <w:r>
              <w:t>Bug fix</w:t>
            </w:r>
          </w:p>
        </w:tc>
        <w:tc>
          <w:tcPr>
            <w:tcW w:type="dxa" w:w="3360"/>
          </w:tcPr>
          <w:p>
            <w:r>
              <w:t>Existing code + failing test/requirement</w:t>
            </w:r>
          </w:p>
        </w:tc>
        <w:tc>
          <w:tcPr>
            <w:tcW w:type="dxa" w:w="3360"/>
          </w:tcPr>
          <w:p>
            <w:r>
              <w:t>Relevant domain/API/DDD</w:t>
            </w:r>
          </w:p>
        </w:tc>
      </w:tr>
      <w:tr>
        <w:tc>
          <w:tcPr>
            <w:tcW w:type="dxa" w:w="3360"/>
          </w:tcPr>
          <w:p>
            <w:r>
              <w:t>Security change</w:t>
            </w:r>
          </w:p>
        </w:tc>
        <w:tc>
          <w:tcPr>
            <w:tcW w:type="dxa" w:w="3360"/>
          </w:tcPr>
          <w:p>
            <w:r>
              <w:t>Security documentation</w:t>
            </w:r>
          </w:p>
        </w:tc>
        <w:tc>
          <w:tcPr>
            <w:tcW w:type="dxa" w:w="3360"/>
          </w:tcPr>
          <w:p>
            <w:r>
              <w:t>Architecture + affected domain + tests</w:t>
            </w:r>
          </w:p>
        </w:tc>
      </w:tr>
      <w:tr>
        <w:tc>
          <w:tcPr>
            <w:tcW w:type="dxa" w:w="3360"/>
          </w:tcPr>
          <w:p>
            <w:r>
              <w:t>Notification change</w:t>
            </w:r>
          </w:p>
        </w:tc>
        <w:tc>
          <w:tcPr>
            <w:tcW w:type="dxa" w:w="3360"/>
          </w:tcPr>
          <w:p>
            <w:r>
              <w:t>Notification architecture/domain</w:t>
            </w:r>
          </w:p>
        </w:tc>
        <w:tc>
          <w:tcPr>
            <w:tcW w:type="dxa" w:w="3360"/>
          </w:tcPr>
          <w:p>
            <w:r>
              <w:t>Appointment flow + outbox + provider configuration</w:t>
            </w:r>
          </w:p>
        </w:tc>
      </w:tr>
    </w:tbl>
    <w:p>
      <w:pPr>
        <w:pStyle w:val="Heading1"/>
      </w:pPr>
      <w:r>
        <w:t>18. Rules for Documentation Size</w:t>
      </w:r>
    </w:p>
    <w:p>
      <w:pPr>
        <w:pStyle w:val="ListBullet"/>
      </w:pPr>
      <w:r>
        <w:t>There is no artificial page-count target.</w:t>
      </w:r>
    </w:p>
    <w:p>
      <w:pPr>
        <w:pStyle w:val="ListBullet"/>
      </w:pPr>
      <w:r>
        <w:t>A document should be as detailed as necessary to make its subject unambiguous.</w:t>
      </w:r>
    </w:p>
    <w:p>
      <w:pPr>
        <w:pStyle w:val="ListBullet"/>
      </w:pPr>
      <w:r>
        <w:t>Prefer modular documents over a single 1,000-page implementation manual.</w:t>
      </w:r>
    </w:p>
    <w:p>
      <w:pPr>
        <w:pStyle w:val="ListBullet"/>
      </w:pPr>
      <w:r>
        <w:t>Do not duplicate the same requirement across multiple documents.</w:t>
      </w:r>
    </w:p>
    <w:p>
      <w:pPr>
        <w:pStyle w:val="ListBullet"/>
      </w:pPr>
      <w:r>
        <w:t>Summaries may point to authoritative detail rather than reproducing it.</w:t>
      </w:r>
    </w:p>
    <w:p>
      <w:pPr>
        <w:pStyle w:val="ListBullet"/>
      </w:pPr>
      <w:r>
        <w:t>Cursor context should remain task-specific even when the overall knowledge base is large.</w:t>
      </w:r>
    </w:p>
    <w:p>
      <w:pPr>
        <w:pStyle w:val="Heading1"/>
      </w:pPr>
      <w:r>
        <w:t>19. Current Baseline &amp; Next Actions</w:t>
      </w:r>
    </w:p>
    <w:p>
      <w:pPr>
        <w:pStyle w:val="ListNumber"/>
      </w:pPr>
      <w:r>
        <w:t>Use this MDI as the navigation baseline for the project documentation library.</w:t>
      </w:r>
    </w:p>
    <w:p>
      <w:pPr>
        <w:pStyle w:val="ListNumber"/>
      </w:pPr>
      <w:r>
        <w:t>Create and approve the Source-of-Truth Policy.</w:t>
      </w:r>
    </w:p>
    <w:p>
      <w:pPr>
        <w:pStyle w:val="ListNumber"/>
      </w:pPr>
      <w:r>
        <w:t>Create and approve the Change Management Policy.</w:t>
      </w:r>
    </w:p>
    <w:p>
      <w:pPr>
        <w:pStyle w:val="ListNumber"/>
      </w:pPr>
      <w:r>
        <w:t>Create the Cursor Project Rules.</w:t>
      </w:r>
    </w:p>
    <w:p>
      <w:pPr>
        <w:pStyle w:val="ListNumber"/>
      </w:pPr>
      <w:r>
        <w:t>Map the existing Volumes 1–4 into this index and identify duplicates/gaps.</w:t>
      </w:r>
    </w:p>
    <w:p>
      <w:pPr>
        <w:pStyle w:val="ListNumber"/>
      </w:pPr>
      <w:r>
        <w:t>Continue Database Design Domain 1 — Foundation &amp; Identity as the first controlled domain.</w:t>
      </w:r>
    </w:p>
    <w:p>
      <w:pPr>
        <w:pStyle w:val="ListNumber"/>
      </w:pPr>
      <w:r>
        <w:t>Maintain the existing Notification Architecture work as part of the controlled technical baseline.</w:t>
      </w:r>
    </w:p>
    <w:p>
      <w:pPr>
        <w:pStyle w:val="Heading1"/>
      </w:pPr>
      <w:r>
        <w:t>20. Governance Statement</w:t>
      </w:r>
    </w:p>
    <w:p>
      <w:r>
        <w:rPr>
          <w:b/>
        </w:rPr>
        <w:t>This index is the project's documentation map. It does not replace the documents it indexes. Where detailed content exists, the detailed authoritative document remains the source of truth.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