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Volume 5 — Cursor AI Development &amp; Governance Document (CADG)</w:t>
      </w:r>
    </w:p>
    <w:p>
      <w:pPr>
        <w:jc w:val="center"/>
      </w:pPr>
      <w:r>
        <w:rPr>
          <w:i/>
          <w:sz w:val="22"/>
        </w:rPr>
        <w:t>Trinetra Digital Lab — Dental Appointment Management System</w:t>
      </w:r>
    </w:p>
    <w:p>
      <w:pPr>
        <w:jc w:val="center"/>
      </w:pPr>
      <w:r>
        <w:rPr>
          <w:b/>
        </w:rPr>
        <w:t>Status: Controlled Draft v1.0 | Purpose: AI-assisted, governed implementation</w:t>
      </w:r>
    </w:p>
    <w:p>
      <w:pPr>
        <w:pStyle w:val="Heading1"/>
      </w:pPr>
      <w:r>
        <w:t>Document Control</w:t>
      </w:r>
    </w:p>
    <w:tbl>
      <w:tblPr>
        <w:tblStyle w:val="TableGrid"/>
        <w:tblW w:type="auto" w:w="0"/>
        <w:tblLook w:firstColumn="1" w:firstRow="1" w:lastColumn="0" w:lastRow="0" w:noHBand="0" w:noVBand="1" w:val="04A0"/>
      </w:tblPr>
      <w:tblGrid>
        <w:gridCol w:w="4968"/>
        <w:gridCol w:w="4968"/>
      </w:tblGrid>
      <w:tr>
        <w:tc>
          <w:tcPr>
            <w:tcW w:type="dxa" w:w="4968"/>
          </w:tcPr>
          <w:p>
            <w:r>
              <w:t>Document ID</w:t>
            </w:r>
          </w:p>
        </w:tc>
        <w:tc>
          <w:tcPr>
            <w:tcW w:type="dxa" w:w="4968"/>
          </w:tcPr>
          <w:p>
            <w:r>
              <w:t>TDA-CADG-001</w:t>
            </w:r>
          </w:p>
        </w:tc>
      </w:tr>
      <w:tr>
        <w:tc>
          <w:tcPr>
            <w:tcW w:type="dxa" w:w="4968"/>
          </w:tcPr>
          <w:p>
            <w:r>
              <w:t>Volume</w:t>
            </w:r>
          </w:p>
        </w:tc>
        <w:tc>
          <w:tcPr>
            <w:tcW w:type="dxa" w:w="4968"/>
          </w:tcPr>
          <w:p>
            <w:r>
              <w:t>5</w:t>
            </w:r>
          </w:p>
        </w:tc>
      </w:tr>
      <w:tr>
        <w:tc>
          <w:tcPr>
            <w:tcW w:type="dxa" w:w="4968"/>
          </w:tcPr>
          <w:p>
            <w:r>
              <w:t>Version</w:t>
            </w:r>
          </w:p>
        </w:tc>
        <w:tc>
          <w:tcPr>
            <w:tcW w:type="dxa" w:w="4968"/>
          </w:tcPr>
          <w:p>
            <w:r>
              <w:t>1.0</w:t>
            </w:r>
          </w:p>
        </w:tc>
      </w:tr>
      <w:tr>
        <w:tc>
          <w:tcPr>
            <w:tcW w:type="dxa" w:w="4968"/>
          </w:tcPr>
          <w:p>
            <w:r>
              <w:t>System</w:t>
            </w:r>
          </w:p>
        </w:tc>
        <w:tc>
          <w:tcPr>
            <w:tcW w:type="dxa" w:w="4968"/>
          </w:tcPr>
          <w:p>
            <w:r>
              <w:t>Dental Appointment Management System</w:t>
            </w:r>
          </w:p>
        </w:tc>
      </w:tr>
      <w:tr>
        <w:tc>
          <w:tcPr>
            <w:tcW w:type="dxa" w:w="4968"/>
          </w:tcPr>
          <w:p>
            <w:r>
              <w:t>Organization</w:t>
            </w:r>
          </w:p>
        </w:tc>
        <w:tc>
          <w:tcPr>
            <w:tcW w:type="dxa" w:w="4968"/>
          </w:tcPr>
          <w:p>
            <w:r>
              <w:t>Trinetra Digital Lab</w:t>
            </w:r>
          </w:p>
        </w:tc>
      </w:tr>
      <w:tr>
        <w:tc>
          <w:tcPr>
            <w:tcW w:type="dxa" w:w="4968"/>
          </w:tcPr>
          <w:p>
            <w:r>
              <w:t>Primary implementation tool</w:t>
            </w:r>
          </w:p>
        </w:tc>
        <w:tc>
          <w:tcPr>
            <w:tcW w:type="dxa" w:w="4968"/>
          </w:tcPr>
          <w:p>
            <w:r>
              <w:t>Cursor AI</w:t>
            </w:r>
          </w:p>
        </w:tc>
      </w:tr>
      <w:tr>
        <w:tc>
          <w:tcPr>
            <w:tcW w:type="dxa" w:w="4968"/>
          </w:tcPr>
          <w:p>
            <w:r>
              <w:t>Authority</w:t>
            </w:r>
          </w:p>
        </w:tc>
        <w:tc>
          <w:tcPr>
            <w:tcW w:type="dxa" w:w="4968"/>
          </w:tcPr>
          <w:p>
            <w:r>
              <w:t>Project documentation + approved architectural decisions</w:t>
            </w:r>
          </w:p>
        </w:tc>
      </w:tr>
      <w:tr>
        <w:tc>
          <w:tcPr>
            <w:tcW w:type="dxa" w:w="4968"/>
          </w:tcPr>
          <w:p>
            <w:r>
              <w:t>Change policy</w:t>
            </w:r>
          </w:p>
        </w:tc>
        <w:tc>
          <w:tcPr>
            <w:tcW w:type="dxa" w:w="4968"/>
          </w:tcPr>
          <w:p>
            <w:r>
              <w:t>Controlled change only</w:t>
            </w:r>
          </w:p>
        </w:tc>
      </w:tr>
    </w:tbl>
    <w:p>
      <w:pPr>
        <w:pStyle w:val="Heading1"/>
      </w:pPr>
      <w:r>
        <w:t>1. Purpose &amp; Scope</w:t>
      </w:r>
    </w:p>
    <w:p>
      <w:r>
        <w:t>This document defines how Cursor AI is to be used to implement, modify, test, review, and maintain the Dental Appointment Management System. It is not a replacement for the PRD/BRD, SAD, TDD, DDD, API specifications, security documentation, or test plans. It is the governance layer connecting those engineering artifacts to AI-assisted implementation.</w:t>
      </w:r>
    </w:p>
    <w:p>
      <w:pPr>
        <w:pStyle w:val="ListBullet"/>
      </w:pPr>
      <w:r>
        <w:t>Prevent uncontrolled AI-generated changes.</w:t>
      </w:r>
    </w:p>
    <w:p>
      <w:pPr>
        <w:pStyle w:val="ListBullet"/>
      </w:pPr>
      <w:r>
        <w:t>Keep implementation aligned with approved requirements and architecture.</w:t>
      </w:r>
    </w:p>
    <w:p>
      <w:pPr>
        <w:pStyle w:val="ListBullet"/>
      </w:pPr>
      <w:r>
        <w:t>Ensure database and API contracts are changed deliberately.</w:t>
      </w:r>
    </w:p>
    <w:p>
      <w:pPr>
        <w:pStyle w:val="ListBullet"/>
      </w:pPr>
      <w:r>
        <w:t>Require testing and validation for material changes.</w:t>
      </w:r>
    </w:p>
    <w:p>
      <w:pPr>
        <w:pStyle w:val="ListBullet"/>
      </w:pPr>
      <w:r>
        <w:t>Make conflicts, uncertainty, and missing requirements visible instead of allowing Cursor to guess.</w:t>
      </w:r>
    </w:p>
    <w:p>
      <w:pPr>
        <w:pStyle w:val="Heading1"/>
      </w:pPr>
      <w:r>
        <w:t>2. Cursor AI Role</w:t>
      </w:r>
    </w:p>
    <w:p>
      <w:r>
        <w:t>Cursor is an implementation assistant, not the product owner, architect of record, security approver, or autonomous decision-maker. Cursor may analyze, propose, implement, refactor, test, and document changes only within the approved scope of the current task.</w:t>
      </w:r>
    </w:p>
    <w:p>
      <w:pPr>
        <w:pStyle w:val="ListBullet"/>
      </w:pPr>
      <w:r>
        <w:t>Cursor MUST inspect the relevant existing code before modifying it.</w:t>
      </w:r>
    </w:p>
    <w:p>
      <w:pPr>
        <w:pStyle w:val="ListBullet"/>
      </w:pPr>
      <w:r>
        <w:t>Cursor MUST follow authoritative project documentation.</w:t>
      </w:r>
    </w:p>
    <w:p>
      <w:pPr>
        <w:pStyle w:val="ListBullet"/>
      </w:pPr>
      <w:r>
        <w:t>Cursor MUST NOT invent business rules when requirements are missing.</w:t>
      </w:r>
    </w:p>
    <w:p>
      <w:pPr>
        <w:pStyle w:val="ListBullet"/>
      </w:pPr>
      <w:r>
        <w:t>Cursor MUST identify ambiguity and stop when a human decision is required.</w:t>
      </w:r>
    </w:p>
    <w:p>
      <w:pPr>
        <w:pStyle w:val="ListBullet"/>
      </w:pPr>
      <w:r>
        <w:t>Cursor MUST prefer the smallest safe change that satisfies the approved requirement.</w:t>
      </w:r>
    </w:p>
    <w:p>
      <w:pPr>
        <w:pStyle w:val="Heading1"/>
      </w:pPr>
      <w:r>
        <w:t>3. Source-of-Truth Hierarchy</w:t>
      </w:r>
    </w:p>
    <w:p>
      <w:r>
        <w:t>When sources conflict, use the following precedence unless a documented architecture decision explicitly overrides it:</w:t>
      </w:r>
    </w:p>
    <w:p>
      <w:pPr>
        <w:pStyle w:val="ListNumber"/>
      </w:pPr>
      <w:r>
        <w:t>Governance documents and approved Architecture Decision Records (ADRs).</w:t>
      </w:r>
    </w:p>
    <w:p>
      <w:pPr>
        <w:pStyle w:val="ListNumber"/>
      </w:pPr>
      <w:r>
        <w:t>Approved product requirements (PRD/BRD).</w:t>
      </w:r>
    </w:p>
    <w:p>
      <w:pPr>
        <w:pStyle w:val="ListNumber"/>
      </w:pPr>
      <w:r>
        <w:t>System and technical architecture (SAD/TDD).</w:t>
      </w:r>
    </w:p>
    <w:p>
      <w:pPr>
        <w:pStyle w:val="ListNumber"/>
      </w:pPr>
      <w:r>
        <w:t>Approved domain specifications.</w:t>
      </w:r>
    </w:p>
    <w:p>
      <w:pPr>
        <w:pStyle w:val="ListNumber"/>
      </w:pPr>
      <w:r>
        <w:t>Database and API contracts.</w:t>
      </w:r>
    </w:p>
    <w:p>
      <w:pPr>
        <w:pStyle w:val="ListNumber"/>
      </w:pPr>
      <w:r>
        <w:t>Security/privacy requirements.</w:t>
      </w:r>
    </w:p>
    <w:p>
      <w:pPr>
        <w:pStyle w:val="ListNumber"/>
      </w:pPr>
      <w:r>
        <w:t>Approved implementation and configuration.</w:t>
      </w:r>
    </w:p>
    <w:p>
      <w:pPr>
        <w:pStyle w:val="ListNumber"/>
      </w:pPr>
      <w:r>
        <w:t>Tests and fixtures, interpreted as verification artifacts rather than business requirements.</w:t>
      </w:r>
    </w:p>
    <w:p>
      <w:r>
        <w:t>A lower-level artifact must not silently override a higher-level requirement. Conflicts must be reported and resolved through controlled change.</w:t>
      </w:r>
    </w:p>
    <w:p>
      <w:pPr>
        <w:pStyle w:val="Heading1"/>
      </w:pPr>
      <w:r>
        <w:t>4. Documentation Governance</w:t>
      </w:r>
    </w:p>
    <w:p>
      <w:pPr>
        <w:pStyle w:val="ListBullet"/>
      </w:pPr>
      <w:r>
        <w:t>Every authoritative document must have an identifier, version, status, and owner/approval state.</w:t>
      </w:r>
    </w:p>
    <w:p>
      <w:pPr>
        <w:pStyle w:val="ListBullet"/>
      </w:pPr>
      <w:r>
        <w:t>Deprecated documents must be clearly marked and must not be treated as current requirements.</w:t>
      </w:r>
    </w:p>
    <w:p>
      <w:pPr>
        <w:pStyle w:val="ListBullet"/>
      </w:pPr>
      <w:r>
        <w:t>Duplicate requirements should be consolidated rather than maintained in multiple competing locations.</w:t>
      </w:r>
    </w:p>
    <w:p>
      <w:pPr>
        <w:pStyle w:val="ListBullet"/>
      </w:pPr>
      <w:r>
        <w:t>Domain documents should contain only the level of detail necessary to make implementation deterministic.</w:t>
      </w:r>
    </w:p>
    <w:p>
      <w:pPr>
        <w:pStyle w:val="ListBullet"/>
      </w:pPr>
      <w:r>
        <w:t>Large documentation volumes are acceptable; indiscriminately loading all documentation into Cursor is not required.</w:t>
      </w:r>
    </w:p>
    <w:p>
      <w:pPr>
        <w:pStyle w:val="Heading1"/>
      </w:pPr>
      <w:r>
        <w:t>5. Recommended Repository Documentation Structure</w:t>
      </w:r>
    </w:p>
    <w:p>
      <w:pPr>
        <w:ind w:left="360"/>
      </w:pPr>
      <w:r>
        <w:rPr>
          <w:rFonts w:ascii="Consolas" w:hAnsi="Consolas"/>
          <w:sz w:val="18"/>
        </w:rPr>
        <w:t>/docs</w:t>
        <w:br/>
        <w:t xml:space="preserve">  /00-governance</w:t>
        <w:br/>
        <w:t xml:space="preserve">    master-index.md</w:t>
        <w:br/>
        <w:t xml:space="preserve">    source-of-truth.md</w:t>
        <w:br/>
        <w:t xml:space="preserve">    change-management.md</w:t>
        <w:br/>
        <w:t xml:space="preserve">    cursor-rules.md</w:t>
        <w:br/>
        <w:t xml:space="preserve">  /01-product-requirements</w:t>
        <w:br/>
        <w:t xml:space="preserve">  /02-system-architecture</w:t>
        <w:br/>
        <w:t xml:space="preserve">  /03-technical-design</w:t>
        <w:br/>
        <w:t xml:space="preserve">  /04-database-design</w:t>
        <w:br/>
        <w:t xml:space="preserve">  /05-domain-specifications</w:t>
        <w:br/>
        <w:t xml:space="preserve">    /foundation-identity</w:t>
        <w:br/>
        <w:t xml:space="preserve">    /patient</w:t>
        <w:br/>
        <w:t xml:space="preserve">    /dentist</w:t>
        <w:br/>
        <w:t xml:space="preserve">    /appointment</w:t>
        <w:br/>
        <w:t xml:space="preserve">    /notification</w:t>
        <w:br/>
        <w:t xml:space="preserve">    /payment</w:t>
        <w:br/>
        <w:t xml:space="preserve">    /audit</w:t>
        <w:br/>
        <w:t xml:space="preserve">    /administration</w:t>
        <w:br/>
        <w:t xml:space="preserve">  /06-api</w:t>
        <w:br/>
        <w:t xml:space="preserve">  /07-security-privacy</w:t>
        <w:br/>
        <w:t xml:space="preserve">  /08-testing-qa</w:t>
        <w:br/>
        <w:t xml:space="preserve">  /09-deployment-devops</w:t>
        <w:br/>
        <w:t xml:space="preserve">  /10-change-log</w:t>
        <w:br/>
      </w:r>
    </w:p>
    <w:p>
      <w:pPr>
        <w:pStyle w:val="Heading1"/>
      </w:pPr>
      <w:r>
        <w:t>6. Context Loading Strategy</w:t>
      </w:r>
    </w:p>
    <w:p>
      <w:r>
        <w:t>Cursor should receive focused context. The current task determines which documents are relevant.</w:t>
      </w:r>
    </w:p>
    <w:p>
      <w:pPr>
        <w:ind w:left="360"/>
      </w:pPr>
      <w:r>
        <w:rPr>
          <w:rFonts w:ascii="Consolas" w:hAnsi="Consolas"/>
          <w:sz w:val="18"/>
        </w:rPr>
        <w:t>Project-wide rules</w:t>
        <w:br/>
        <w:t xml:space="preserve">        ↓</w:t>
        <w:br/>
        <w:t>Current domain specification</w:t>
        <w:br/>
        <w:t xml:space="preserve">        ↓</w:t>
        <w:br/>
        <w:t>Relevant TDD / architecture decision</w:t>
        <w:br/>
        <w:t xml:space="preserve">        ↓</w:t>
        <w:br/>
        <w:t>Relevant DDD / API contract</w:t>
        <w:br/>
        <w:t xml:space="preserve">        ↓</w:t>
        <w:br/>
        <w:t>Existing implementation</w:t>
        <w:br/>
        <w:t xml:space="preserve">        ↓</w:t>
        <w:br/>
        <w:t>Tests</w:t>
        <w:br/>
        <w:t xml:space="preserve">        ↓</w:t>
        <w:br/>
        <w:t>Implementation + validation</w:t>
        <w:br/>
      </w:r>
    </w:p>
    <w:p>
      <w:pPr>
        <w:pStyle w:val="ListBullet"/>
      </w:pPr>
      <w:r>
        <w:t>Do not paste or attach the entire documentation library for every task.</w:t>
      </w:r>
    </w:p>
    <w:p>
      <w:pPr>
        <w:pStyle w:val="ListBullet"/>
      </w:pPr>
      <w:r>
        <w:t>Load the smallest authoritative context that makes the task deterministic.</w:t>
      </w:r>
    </w:p>
    <w:p>
      <w:pPr>
        <w:pStyle w:val="ListBullet"/>
      </w:pPr>
      <w:r>
        <w:t>For cross-domain changes, explicitly list every affected domain.</w:t>
      </w:r>
    </w:p>
    <w:p>
      <w:pPr>
        <w:pStyle w:val="ListBullet"/>
      </w:pPr>
      <w:r>
        <w:t>If the required context cannot be found, Cursor must stop and report the missing source.</w:t>
      </w:r>
    </w:p>
    <w:p>
      <w:pPr>
        <w:pStyle w:val="Heading1"/>
      </w:pPr>
      <w:r>
        <w:t>7. Coding &amp; Engineering Standards</w:t>
      </w:r>
    </w:p>
    <w:p>
      <w:pPr>
        <w:pStyle w:val="ListBullet"/>
      </w:pPr>
      <w:r>
        <w:t>Follow the project's approved language, framework, architecture, naming, and folder conventions.</w:t>
      </w:r>
    </w:p>
    <w:p>
      <w:pPr>
        <w:pStyle w:val="ListBullet"/>
      </w:pPr>
      <w:r>
        <w:t>Do not introduce a new framework/library merely because it is convenient.</w:t>
      </w:r>
    </w:p>
    <w:p>
      <w:pPr>
        <w:pStyle w:val="ListBullet"/>
      </w:pPr>
      <w:r>
        <w:t>Do not duplicate existing services, repositories, utilities, or domain logic without justification.</w:t>
      </w:r>
    </w:p>
    <w:p>
      <w:pPr>
        <w:pStyle w:val="ListBullet"/>
      </w:pPr>
      <w:r>
        <w:t>Keep business logic in the appropriate domain/application layer.</w:t>
      </w:r>
    </w:p>
    <w:p>
      <w:pPr>
        <w:pStyle w:val="ListBullet"/>
      </w:pPr>
      <w:r>
        <w:t>Use explicit validation, error handling, logging, and observability patterns already established by the project.</w:t>
      </w:r>
    </w:p>
    <w:p>
      <w:pPr>
        <w:pStyle w:val="ListBullet"/>
      </w:pPr>
      <w:r>
        <w:t>Avoid broad refactoring during a feature task unless explicitly authorized.</w:t>
      </w:r>
    </w:p>
    <w:p>
      <w:pPr>
        <w:pStyle w:val="Heading1"/>
      </w:pPr>
      <w:r>
        <w:t>8. Database Change Rules</w:t>
      </w:r>
    </w:p>
    <w:p>
      <w:pPr>
        <w:pStyle w:val="ListBullet"/>
      </w:pPr>
      <w:r>
        <w:t>Database schema is a controlled contract.</w:t>
      </w:r>
    </w:p>
    <w:p>
      <w:pPr>
        <w:pStyle w:val="ListBullet"/>
      </w:pPr>
      <w:r>
        <w:t>No destructive schema change without explicit approval.</w:t>
      </w:r>
    </w:p>
    <w:p>
      <w:pPr>
        <w:pStyle w:val="ListBullet"/>
      </w:pPr>
      <w:r>
        <w:t>Every schema change must have a migration.</w:t>
      </w:r>
    </w:p>
    <w:p>
      <w:pPr>
        <w:pStyle w:val="ListBullet"/>
      </w:pPr>
      <w:r>
        <w:t>Changes to primary keys, foreign keys, indexes, constraints, audit/history structures, or tenancy/security boundaries require elevated review.</w:t>
      </w:r>
    </w:p>
    <w:p>
      <w:pPr>
        <w:pStyle w:val="ListBullet"/>
      </w:pPr>
      <w:r>
        <w:t>Application code and migrations must remain compatible.</w:t>
      </w:r>
    </w:p>
    <w:p>
      <w:pPr>
        <w:pStyle w:val="ListBullet"/>
      </w:pPr>
      <w:r>
        <w:t>Never modify production data directly as a shortcut for a schema problem.</w:t>
      </w:r>
    </w:p>
    <w:p>
      <w:pPr>
        <w:pStyle w:val="Heading1"/>
      </w:pPr>
      <w:r>
        <w:t>9. API Change Rules</w:t>
      </w:r>
    </w:p>
    <w:p>
      <w:pPr>
        <w:pStyle w:val="ListBullet"/>
      </w:pPr>
      <w:r>
        <w:t>API contracts must be treated as versioned interfaces.</w:t>
      </w:r>
    </w:p>
    <w:p>
      <w:pPr>
        <w:pStyle w:val="ListBullet"/>
      </w:pPr>
      <w:r>
        <w:t>Do not silently rename, remove, or change the meaning of an existing field.</w:t>
      </w:r>
    </w:p>
    <w:p>
      <w:pPr>
        <w:pStyle w:val="ListBullet"/>
      </w:pPr>
      <w:r>
        <w:t>Breaking changes require explicit approval and a migration/versioning strategy.</w:t>
      </w:r>
    </w:p>
    <w:p>
      <w:pPr>
        <w:pStyle w:val="ListBullet"/>
      </w:pPr>
      <w:r>
        <w:t>Request validation, response contracts, authorization, error semantics, and idempotency requirements must be preserved.</w:t>
      </w:r>
    </w:p>
    <w:p>
      <w:pPr>
        <w:pStyle w:val="ListBullet"/>
      </w:pPr>
      <w:r>
        <w:t>API changes must include or update automated tests.</w:t>
      </w:r>
    </w:p>
    <w:p>
      <w:pPr>
        <w:pStyle w:val="Heading1"/>
      </w:pPr>
      <w:r>
        <w:t>10. Security &amp; Privacy Rules</w:t>
      </w:r>
    </w:p>
    <w:p>
      <w:pPr>
        <w:pStyle w:val="ListBullet"/>
      </w:pPr>
      <w:r>
        <w:t>Never hard-code secrets, API keys, tokens, passwords, or private credentials.</w:t>
      </w:r>
    </w:p>
    <w:p>
      <w:pPr>
        <w:pStyle w:val="ListBullet"/>
      </w:pPr>
      <w:r>
        <w:t>Use approved secret-management and environment-configuration mechanisms.</w:t>
      </w:r>
    </w:p>
    <w:p>
      <w:pPr>
        <w:pStyle w:val="ListBullet"/>
      </w:pPr>
      <w:r>
        <w:t>Apply least privilege.</w:t>
      </w:r>
    </w:p>
    <w:p>
      <w:pPr>
        <w:pStyle w:val="ListBullet"/>
      </w:pPr>
      <w:r>
        <w:t>Enforce authorization at the server side; never rely solely on UI restrictions.</w:t>
      </w:r>
    </w:p>
    <w:p>
      <w:pPr>
        <w:pStyle w:val="ListBullet"/>
      </w:pPr>
      <w:r>
        <w:t>Protect sensitive patient and appointment data in logs and error messages.</w:t>
      </w:r>
    </w:p>
    <w:p>
      <w:pPr>
        <w:pStyle w:val="ListBullet"/>
      </w:pPr>
      <w:r>
        <w:t>Do not expose internal identifiers or infrastructure details unnecessarily.</w:t>
      </w:r>
    </w:p>
    <w:p>
      <w:pPr>
        <w:pStyle w:val="ListBullet"/>
      </w:pPr>
      <w:r>
        <w:t>Security-sensitive changes require explicit review before release.</w:t>
      </w:r>
    </w:p>
    <w:p>
      <w:pPr>
        <w:pStyle w:val="Heading1"/>
      </w:pPr>
      <w:r>
        <w:t>11. Testing &amp; QA Rules</w:t>
      </w:r>
    </w:p>
    <w:p>
      <w:pPr>
        <w:pStyle w:val="ListBullet"/>
      </w:pPr>
      <w:r>
        <w:t>Every material change must have an appropriate test strategy.</w:t>
      </w:r>
    </w:p>
    <w:p>
      <w:pPr>
        <w:pStyle w:val="ListBullet"/>
      </w:pPr>
      <w:r>
        <w:t>Run focused tests first, then the relevant broader regression suite.</w:t>
      </w:r>
    </w:p>
    <w:p>
      <w:pPr>
        <w:pStyle w:val="ListBullet"/>
      </w:pPr>
      <w:r>
        <w:t>Do not delete or weaken a failing test merely to obtain a green build.</w:t>
      </w:r>
    </w:p>
    <w:p>
      <w:pPr>
        <w:pStyle w:val="ListBullet"/>
      </w:pPr>
      <w:r>
        <w:t>A test failure caused by a requirement conflict must be reported rather than bypassed.</w:t>
      </w:r>
    </w:p>
    <w:p>
      <w:pPr>
        <w:pStyle w:val="ListBullet"/>
      </w:pPr>
      <w:r>
        <w:t>Appointment lifecycle, authorization, notification outbox behavior, audit/history, and transaction boundaries require regression coverage.</w:t>
      </w:r>
    </w:p>
    <w:p>
      <w:pPr>
        <w:pStyle w:val="Heading1"/>
      </w:pPr>
      <w:r>
        <w:t>12. Git &amp; Change Safety</w:t>
      </w:r>
    </w:p>
    <w:p>
      <w:pPr>
        <w:pStyle w:val="ListBullet"/>
      </w:pPr>
      <w:r>
        <w:t>Inspect repository status before making changes.</w:t>
      </w:r>
    </w:p>
    <w:p>
      <w:pPr>
        <w:pStyle w:val="ListBullet"/>
      </w:pPr>
      <w:r>
        <w:t>Do not overwrite unrelated user changes.</w:t>
      </w:r>
    </w:p>
    <w:p>
      <w:pPr>
        <w:pStyle w:val="ListBullet"/>
      </w:pPr>
      <w:r>
        <w:t>Keep commits focused and logically grouped.</w:t>
      </w:r>
    </w:p>
    <w:p>
      <w:pPr>
        <w:pStyle w:val="ListBullet"/>
      </w:pPr>
      <w:r>
        <w:t>Do not force-push, reset, rebase, or delete branches unless explicitly authorized.</w:t>
      </w:r>
    </w:p>
    <w:p>
      <w:pPr>
        <w:pStyle w:val="ListBullet"/>
      </w:pPr>
      <w:r>
        <w:t>Do not commit secrets, local credentials, generated private data, or unrelated artifacts.</w:t>
      </w:r>
    </w:p>
    <w:p>
      <w:pPr>
        <w:pStyle w:val="ListBullet"/>
      </w:pPr>
      <w:r>
        <w:t>Summarize changed files and rationale after implementation.</w:t>
      </w:r>
    </w:p>
    <w:p>
      <w:pPr>
        <w:pStyle w:val="Heading1"/>
      </w:pPr>
      <w:r>
        <w:t>13. AI Hallucination Prevention</w:t>
      </w:r>
    </w:p>
    <w:p>
      <w:pPr>
        <w:pStyle w:val="ListBullet"/>
      </w:pPr>
      <w:r>
        <w:t>Never invent an endpoint, database column, role, status, notification template, or business rule and present it as approved.</w:t>
      </w:r>
    </w:p>
    <w:p>
      <w:pPr>
        <w:pStyle w:val="ListBullet"/>
      </w:pPr>
      <w:r>
        <w:t>Clearly label assumptions.</w:t>
      </w:r>
    </w:p>
    <w:p>
      <w:pPr>
        <w:pStyle w:val="ListBullet"/>
      </w:pPr>
      <w:r>
        <w:t>When evidence is insufficient, request clarification or stop at the defined stop condition.</w:t>
      </w:r>
    </w:p>
    <w:p>
      <w:pPr>
        <w:pStyle w:val="ListBullet"/>
      </w:pPr>
      <w:r>
        <w:t>Prefer existing project patterns over generic framework recommendations.</w:t>
      </w:r>
    </w:p>
    <w:p>
      <w:pPr>
        <w:pStyle w:val="ListBullet"/>
      </w:pPr>
      <w:r>
        <w:t>Cite the project document or code location that supports a material implementation decision when reporting results.</w:t>
      </w:r>
    </w:p>
    <w:p>
      <w:pPr>
        <w:pStyle w:val="Heading1"/>
      </w:pPr>
      <w:r>
        <w:t>14. Conflict Resolution</w:t>
      </w:r>
    </w:p>
    <w:p>
      <w:r>
        <w:t>When a conflict is detected, Cursor should produce a structured report:</w:t>
      </w:r>
    </w:p>
    <w:p>
      <w:pPr>
        <w:ind w:left="360"/>
      </w:pPr>
      <w:r>
        <w:rPr>
          <w:rFonts w:ascii="Consolas" w:hAnsi="Consolas"/>
          <w:sz w:val="18"/>
        </w:rPr>
        <w:t>DOCUMENTATION CONFLICT DETECTED</w:t>
        <w:br/>
        <w:br/>
        <w:t>Conflict:</w:t>
        <w:br/>
        <w:t>Authoritative source A:</w:t>
        <w:br/>
        <w:t>Authoritative source B:</w:t>
        <w:br/>
        <w:t>Affected component:</w:t>
        <w:br/>
        <w:t>Potential implementation impact:</w:t>
        <w:br/>
        <w:t>Recommended resolution:</w:t>
        <w:br/>
        <w:t>Human approval required: YES</w:t>
        <w:br/>
        <w:t>Implementation status: BLOCKED</w:t>
        <w:br/>
      </w:r>
    </w:p>
    <w:p>
      <w:pPr>
        <w:pStyle w:val="Heading1"/>
      </w:pPr>
      <w:r>
        <w:t>15. Controlled Implementation Workflow</w:t>
      </w:r>
    </w:p>
    <w:p>
      <w:pPr>
        <w:pStyle w:val="ListNumber"/>
      </w:pPr>
      <w:r>
        <w:t>Read the task and identify its scope.</w:t>
      </w:r>
    </w:p>
    <w:p>
      <w:pPr>
        <w:pStyle w:val="ListNumber"/>
      </w:pPr>
      <w:r>
        <w:t>Locate the authoritative requirements and technical sources.</w:t>
      </w:r>
    </w:p>
    <w:p>
      <w:pPr>
        <w:pStyle w:val="ListNumber"/>
      </w:pPr>
      <w:r>
        <w:t>Inspect the existing implementation.</w:t>
      </w:r>
    </w:p>
    <w:p>
      <w:pPr>
        <w:pStyle w:val="ListNumber"/>
      </w:pPr>
      <w:r>
        <w:t>Identify dependencies and affected domains.</w:t>
      </w:r>
    </w:p>
    <w:p>
      <w:pPr>
        <w:pStyle w:val="ListNumber"/>
      </w:pPr>
      <w:r>
        <w:t>State assumptions and unresolved questions.</w:t>
      </w:r>
    </w:p>
    <w:p>
      <w:pPr>
        <w:pStyle w:val="ListNumber"/>
      </w:pPr>
      <w:r>
        <w:t>Create a concise implementation plan.</w:t>
      </w:r>
    </w:p>
    <w:p>
      <w:pPr>
        <w:pStyle w:val="ListNumber"/>
      </w:pPr>
      <w:r>
        <w:t>Implement only the approved scope.</w:t>
      </w:r>
    </w:p>
    <w:p>
      <w:pPr>
        <w:pStyle w:val="ListNumber"/>
      </w:pPr>
      <w:r>
        <w:t>Run relevant tests.</w:t>
      </w:r>
    </w:p>
    <w:p>
      <w:pPr>
        <w:pStyle w:val="ListNumber"/>
      </w:pPr>
      <w:r>
        <w:t>Review for security, data integrity, API compatibility, and regression risk.</w:t>
      </w:r>
    </w:p>
    <w:p>
      <w:pPr>
        <w:pStyle w:val="ListNumber"/>
      </w:pPr>
      <w:r>
        <w:t>Report files changed, tests executed, results, known limitations, and follow-up work.</w:t>
      </w:r>
    </w:p>
    <w:p>
      <w:pPr>
        <w:pStyle w:val="Heading1"/>
      </w:pPr>
      <w:r>
        <w:t>16. Review &amp; Approval Gates</w:t>
      </w:r>
    </w:p>
    <w:p>
      <w:pPr>
        <w:pStyle w:val="ListBullet"/>
      </w:pPr>
      <w:r>
        <w:t>Gate 1 — Requirements: requirement is approved and unambiguous.</w:t>
      </w:r>
    </w:p>
    <w:p>
      <w:pPr>
        <w:pStyle w:val="ListBullet"/>
      </w:pPr>
      <w:r>
        <w:t>Gate 2 — Design: architecture/database/API impact is understood.</w:t>
      </w:r>
    </w:p>
    <w:p>
      <w:pPr>
        <w:pStyle w:val="ListBullet"/>
      </w:pPr>
      <w:r>
        <w:t>Gate 3 — Implementation: code matches the approved design.</w:t>
      </w:r>
    </w:p>
    <w:p>
      <w:pPr>
        <w:pStyle w:val="ListBullet"/>
      </w:pPr>
      <w:r>
        <w:t>Gate 4 — Verification: tests and validation pass.</w:t>
      </w:r>
    </w:p>
    <w:p>
      <w:pPr>
        <w:pStyle w:val="ListBullet"/>
      </w:pPr>
      <w:r>
        <w:t>Gate 5 — Release: deployment and operational impact are approved.</w:t>
      </w:r>
    </w:p>
    <w:p>
      <w:pPr>
        <w:pStyle w:val="Heading1"/>
      </w:pPr>
      <w:r>
        <w:t>17. Mandatory Stop Conditions</w:t>
      </w:r>
    </w:p>
    <w:p>
      <w:pPr>
        <w:pStyle w:val="ListBullet"/>
      </w:pPr>
      <w:r>
        <w:t>Conflicting authoritative requirements.</w:t>
      </w:r>
    </w:p>
    <w:p>
      <w:pPr>
        <w:pStyle w:val="ListBullet"/>
      </w:pPr>
      <w:r>
        <w:t>Missing critical business rule.</w:t>
      </w:r>
    </w:p>
    <w:p>
      <w:pPr>
        <w:pStyle w:val="ListBullet"/>
      </w:pPr>
      <w:r>
        <w:t>Potential destructive database operation.</w:t>
      </w:r>
    </w:p>
    <w:p>
      <w:pPr>
        <w:pStyle w:val="ListBullet"/>
      </w:pPr>
      <w:r>
        <w:t>Potential security/privacy violation.</w:t>
      </w:r>
    </w:p>
    <w:p>
      <w:pPr>
        <w:pStyle w:val="ListBullet"/>
      </w:pPr>
      <w:r>
        <w:t>Breaking API contract without approved migration.</w:t>
      </w:r>
    </w:p>
    <w:p>
      <w:pPr>
        <w:pStyle w:val="ListBullet"/>
      </w:pPr>
      <w:r>
        <w:t>Unexpected modification outside task scope.</w:t>
      </w:r>
    </w:p>
    <w:p>
      <w:pPr>
        <w:pStyle w:val="ListBullet"/>
      </w:pPr>
      <w:r>
        <w:t>Tests fail for a reason that cannot be safely resolved within scope.</w:t>
      </w:r>
    </w:p>
    <w:p>
      <w:pPr>
        <w:pStyle w:val="ListBullet"/>
      </w:pPr>
      <w:r>
        <w:t>Required credentials, infrastructure, or external dependency are unavailable.</w:t>
      </w:r>
    </w:p>
    <w:p>
      <w:pPr>
        <w:pStyle w:val="Heading1"/>
      </w:pPr>
      <w:r>
        <w:t>18. Change Management</w:t>
      </w:r>
    </w:p>
    <w:p>
      <w:r>
        <w:t>Requirements and architecture are expected to evolve. Changes must be recorded rather than silently implemented in code. Material changes should update the relevant specification, ADR, API contract, database design, tests, and change log as applicable.</w:t>
      </w:r>
    </w:p>
    <w:p>
      <w:pPr>
        <w:pStyle w:val="Heading1"/>
      </w:pPr>
      <w:r>
        <w:t>19. Cursor Task Template</w:t>
      </w:r>
    </w:p>
    <w:p>
      <w:pPr>
        <w:ind w:left="360"/>
      </w:pPr>
      <w:r>
        <w:rPr>
          <w:rFonts w:ascii="Consolas" w:hAnsi="Consolas"/>
          <w:sz w:val="18"/>
        </w:rPr>
        <w:t>TASK</w:t>
        <w:br/>
        <w:t>Implement: &lt;specific feature/change&gt;</w:t>
        <w:br/>
        <w:br/>
        <w:t>AUTHORITATIVE SOURCES</w:t>
        <w:br/>
        <w:t>- &lt;document/path&gt;</w:t>
        <w:br/>
        <w:t>- &lt;document/path&gt;</w:t>
        <w:br/>
        <w:t>- &lt;ADR/path&gt;</w:t>
        <w:br/>
        <w:br/>
        <w:t>SCOPE</w:t>
        <w:br/>
        <w:t>- In scope:</w:t>
        <w:br/>
        <w:t>- Out of scope:</w:t>
        <w:br/>
        <w:br/>
        <w:t>CONSTRAINTS</w:t>
        <w:br/>
        <w:t>- Architecture:</w:t>
        <w:br/>
        <w:t>- Database:</w:t>
        <w:br/>
        <w:t>- API:</w:t>
        <w:br/>
        <w:t>- Security:</w:t>
        <w:br/>
        <w:t>- Testing:</w:t>
        <w:br/>
        <w:br/>
        <w:t>IMPLEMENTATION RULES</w:t>
        <w:br/>
        <w:t>- Inspect existing implementation first.</w:t>
        <w:br/>
        <w:t>- Do not invent requirements.</w:t>
        <w:br/>
        <w:t>- Do not modify unrelated components.</w:t>
        <w:br/>
        <w:t>- Stop on authoritative conflicts.</w:t>
        <w:br/>
        <w:br/>
        <w:t>ACCEPTANCE CRITERIA</w:t>
        <w:br/>
        <w:t>- &lt;criterion&gt;</w:t>
        <w:br/>
        <w:t>- &lt;criterion&gt;</w:t>
        <w:br/>
        <w:br/>
        <w:t>REPORT</w:t>
        <w:br/>
        <w:t>- Files changed:</w:t>
        <w:br/>
        <w:t>- Tests run:</w:t>
        <w:br/>
        <w:t>- Test results:</w:t>
        <w:br/>
        <w:t>- Documentation updated:</w:t>
        <w:br/>
        <w:t>- Risks/limitations:</w:t>
        <w:br/>
        <w:t>- Follow-up items:</w:t>
        <w:br/>
      </w:r>
    </w:p>
    <w:p>
      <w:pPr>
        <w:pStyle w:val="Heading1"/>
      </w:pPr>
      <w:r>
        <w:t>20. Definition of Done for AI-Assisted Work</w:t>
      </w:r>
    </w:p>
    <w:p>
      <w:pPr>
        <w:pStyle w:val="ListBullet"/>
      </w:pPr>
      <w:r>
        <w:t>Requirement is traceable to an authoritative source.</w:t>
      </w:r>
    </w:p>
    <w:p>
      <w:pPr>
        <w:pStyle w:val="ListBullet"/>
      </w:pPr>
      <w:r>
        <w:t>Implementation is within approved scope.</w:t>
      </w:r>
    </w:p>
    <w:p>
      <w:pPr>
        <w:pStyle w:val="ListBullet"/>
      </w:pPr>
      <w:r>
        <w:t>No unresolved documentation conflict exists.</w:t>
      </w:r>
    </w:p>
    <w:p>
      <w:pPr>
        <w:pStyle w:val="ListBullet"/>
      </w:pPr>
      <w:r>
        <w:t>Database/API contracts remain consistent.</w:t>
      </w:r>
    </w:p>
    <w:p>
      <w:pPr>
        <w:pStyle w:val="ListBullet"/>
      </w:pPr>
      <w:r>
        <w:t>Security/privacy checks are complete.</w:t>
      </w:r>
    </w:p>
    <w:p>
      <w:pPr>
        <w:pStyle w:val="ListBullet"/>
      </w:pPr>
      <w:r>
        <w:t>Relevant automated tests pass.</w:t>
      </w:r>
    </w:p>
    <w:p>
      <w:pPr>
        <w:pStyle w:val="ListBullet"/>
      </w:pPr>
      <w:r>
        <w:t>No unrelated changes were introduced.</w:t>
      </w:r>
    </w:p>
    <w:p>
      <w:pPr>
        <w:pStyle w:val="ListBullet"/>
      </w:pPr>
      <w:r>
        <w:t>Documentation/change log is updated where required.</w:t>
      </w:r>
    </w:p>
    <w:p>
      <w:pPr>
        <w:pStyle w:val="ListBullet"/>
      </w:pPr>
      <w:r>
        <w:t>Cursor's completion report identifies limitations and remaining work.</w:t>
      </w:r>
    </w:p>
    <w:p>
      <w:pPr>
        <w:pStyle w:val="Heading1"/>
      </w:pPr>
      <w:r>
        <w:t>21. Governance Principle</w:t>
      </w:r>
    </w:p>
    <w:p>
      <w:r>
        <w:rPr>
          <w:b/>
        </w:rPr>
        <w:t>The objective is not to make Cursor autonomous. The objective is to make Cursor predictable, traceable, testable, and safe to use at engineering scale.</w:t>
      </w:r>
    </w:p>
    <w:p>
      <w:pPr>
        <w:pStyle w:val="Heading1"/>
      </w:pPr>
      <w:r>
        <w:t>Appendix A — Practical Context Rule</w:t>
      </w:r>
    </w:p>
    <w:p>
      <w:r>
        <w:t>A 1,000-page documentation library may be retained as the project's engineering knowledge base. Cursor should normally consume only the relevant subset for the current task. Documentation completeness and AI context size are separate concerns.</w:t>
      </w:r>
    </w:p>
    <w:p>
      <w:pPr>
        <w:pStyle w:val="Heading1"/>
      </w:pPr>
      <w:r>
        <w:t>Appendix B — Initial Implementation Sequence</w:t>
      </w:r>
    </w:p>
    <w:p>
      <w:pPr>
        <w:pStyle w:val="ListNumber"/>
      </w:pPr>
      <w:r>
        <w:t>Establish 00-Governance and the Master Documentation Index.</w:t>
      </w:r>
    </w:p>
    <w:p>
      <w:pPr>
        <w:pStyle w:val="ListNumber"/>
      </w:pPr>
      <w:r>
        <w:t>Review and rationalize Volumes 1–4 without deleting valid engineering detail.</w:t>
      </w:r>
    </w:p>
    <w:p>
      <w:pPr>
        <w:pStyle w:val="ListNumber"/>
      </w:pPr>
      <w:r>
        <w:t>Finalize Cursor project rules.</w:t>
      </w:r>
    </w:p>
    <w:p>
      <w:pPr>
        <w:pStyle w:val="ListNumber"/>
      </w:pPr>
      <w:r>
        <w:t>Freeze Foundation &amp; Identity as the first controlled implementation domain.</w:t>
      </w:r>
    </w:p>
    <w:p>
      <w:pPr>
        <w:pStyle w:val="ListNumber"/>
      </w:pPr>
      <w:r>
        <w:t>Proceed domain-by-domain through Appointment, Notification, Patient, Dentist, Administration, and other approved domains.</w:t>
      </w:r>
    </w:p>
    <w:p>
      <w:pPr>
        <w:pStyle w:val="ListNumber"/>
      </w:pPr>
      <w:r>
        <w:t>Use tests and change records as continuous verification.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