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945A" w14:textId="77777777" w:rsidR="00EB4AE9" w:rsidRDefault="00EB4AE9" w:rsidP="00EB4AE9">
      <w:r>
        <w:t>CV-ID: CV23</w:t>
      </w:r>
    </w:p>
    <w:p w14:paraId="491B0C2E" w14:textId="5A1807ED" w:rsidR="002646E4" w:rsidRDefault="002646E4" w:rsidP="00EB4AE9">
      <w:r>
        <w:t xml:space="preserve">CV OF </w:t>
      </w:r>
      <w:r w:rsidRPr="002646E4">
        <w:t>Oliver Fischer</w:t>
      </w:r>
    </w:p>
    <w:p w14:paraId="376AEE2D" w14:textId="77777777" w:rsidR="00EB4AE9" w:rsidRDefault="00EB4AE9" w:rsidP="00EB4AE9">
      <w:r>
        <w:t>TARGET ROLE: Senior Managing Consultant / Principal (FinTech Advisory &amp; Corporate Development)</w:t>
      </w:r>
    </w:p>
    <w:p w14:paraId="1C401801" w14:textId="77777777" w:rsidR="00EB4AE9" w:rsidRDefault="00EB4AE9" w:rsidP="00EB4AE9">
      <w:r>
        <w:t>CONTACT: cv23@evaluation-dataset.local</w:t>
      </w:r>
    </w:p>
    <w:p w14:paraId="61E5A82A" w14:textId="77777777" w:rsidR="00EB4AE9" w:rsidRDefault="00EB4AE9" w:rsidP="00EB4AE9"/>
    <w:p w14:paraId="4271503D" w14:textId="77777777" w:rsidR="00EB4AE9" w:rsidRDefault="00EB4AE9" w:rsidP="00EB4AE9">
      <w:r>
        <w:t>PROFESSIONAL SUMMARY</w:t>
      </w:r>
    </w:p>
    <w:p w14:paraId="10200D1A" w14:textId="77777777" w:rsidR="00EB4AE9" w:rsidRDefault="00EB4AE9" w:rsidP="00EB4AE9">
      <w:r>
        <w:t>Highly structured, commercially focused, and technology-fluent Senior Consultant with over 12 years of executive advisory success leading financial technology transformations, regulatory compliance restructurings, and deep data analytics integrations for global banking institutions and institutional asset managers. Expert in bridging the gap between legacy corporate financial systems and modern, high-throughput digital architecture, maximizing platform transaction volumes while introducing automated compliance controls. Proven record of managing high-value consulting engagements, advising C-suite stakeholders through high-stakes data transitions, and optimizing internal corporate operating structures to protect transactional margins and accelerate time-to-market performance metrics.</w:t>
      </w:r>
    </w:p>
    <w:p w14:paraId="38A36939" w14:textId="77777777" w:rsidR="00EB4AE9" w:rsidRDefault="00EB4AE9" w:rsidP="00EB4AE9"/>
    <w:p w14:paraId="7008942F" w14:textId="77777777" w:rsidR="00EB4AE9" w:rsidRDefault="00EB4AE9" w:rsidP="00EB4AE9">
      <w:r>
        <w:t>CORE COMPETENCIES &amp; ADVANCED FRAMEWORKS</w:t>
      </w:r>
    </w:p>
    <w:p w14:paraId="1429BF2C" w14:textId="77777777" w:rsidR="00EB4AE9" w:rsidRDefault="00EB4AE9" w:rsidP="00EB4AE9">
      <w:r>
        <w:t>FinTech Advisory: Core Banking Modernization, Transactional Infrastructure Design, Ledger Migration</w:t>
      </w:r>
    </w:p>
    <w:p w14:paraId="2097A446" w14:textId="77777777" w:rsidR="00EB4AE9" w:rsidRDefault="00EB4AE9" w:rsidP="00EB4AE9">
      <w:r>
        <w:t xml:space="preserve">Data &amp; Analytics: Enterprise Business Intelligence, Predictive Margin </w:t>
      </w:r>
      <w:proofErr w:type="spellStart"/>
      <w:r>
        <w:t>Modeling</w:t>
      </w:r>
      <w:proofErr w:type="spellEnd"/>
      <w:r>
        <w:t>, Automated Risk Telemetry</w:t>
      </w:r>
    </w:p>
    <w:p w14:paraId="7485C820" w14:textId="77777777" w:rsidR="00EB4AE9" w:rsidRDefault="00EB4AE9" w:rsidP="00EB4AE9">
      <w:r>
        <w:t>Corporate Transformation: Operating Model Optimization, Cost-Out Program Design, Regulatory Remediations</w:t>
      </w:r>
    </w:p>
    <w:p w14:paraId="4B5B6464" w14:textId="77777777" w:rsidR="00EB4AE9" w:rsidRDefault="00EB4AE9" w:rsidP="00EB4AE9">
      <w:r>
        <w:t>Client Leadership: Senior Stakeholder Alignment, Multimillion-Dollar Engagement Management, Cross-Functional PMO</w:t>
      </w:r>
    </w:p>
    <w:p w14:paraId="0C273868" w14:textId="77777777" w:rsidR="00EB4AE9" w:rsidRDefault="00EB4AE9" w:rsidP="00EB4AE9"/>
    <w:p w14:paraId="57ABACB8" w14:textId="77777777" w:rsidR="00EB4AE9" w:rsidRDefault="00EB4AE9" w:rsidP="00EB4AE9">
      <w:r>
        <w:t>PROFESSIONAL BIOGRAPHY &amp; ENGAGEMENT RECORD</w:t>
      </w:r>
    </w:p>
    <w:p w14:paraId="700DFEDC" w14:textId="77777777" w:rsidR="00EB4AE9" w:rsidRDefault="00EB4AE9" w:rsidP="00EB4AE9">
      <w:r>
        <w:t>Nexus Financial Advisory | Senior Managing Consultant</w:t>
      </w:r>
    </w:p>
    <w:p w14:paraId="63F72CF7" w14:textId="77777777" w:rsidR="00EB4AE9" w:rsidRDefault="00EB4AE9" w:rsidP="00EB4AE9">
      <w:r>
        <w:t xml:space="preserve">* Oversees large-scale technology transformation engagements, financial software integration roadmaps, and data analytics advisory practices for tier-1 retail banking and </w:t>
      </w:r>
      <w:r>
        <w:lastRenderedPageBreak/>
        <w:t>digital brokerage institutions, coordinating with client executive leadership teams to deploy secure financial tooling packages.</w:t>
      </w:r>
    </w:p>
    <w:p w14:paraId="1C84E111" w14:textId="77777777" w:rsidR="00EB4AE9" w:rsidRDefault="00EB4AE9" w:rsidP="00EB4AE9">
      <w:r>
        <w:t>* Formulated the overarching administrative protocols and technology onboarding guidelines used to govern vendor-managed delivery teams during long-cycle software transitions, establishing clear documentation standards across cross-functional engineering pods, scheduling regular cadence reviews with internal enterprise stakeholders, and creating automated compliance tracking matrices to ensure external development contractors strictly adhere to institutional cybersecurity baselines and identity access management frameworks.</w:t>
      </w:r>
    </w:p>
    <w:p w14:paraId="30BAFAC8" w14:textId="77777777" w:rsidR="00EB4AE9" w:rsidRDefault="00EB4AE9" w:rsidP="00EB4AE9">
      <w:r>
        <w:t>* Managed a comprehensive core banking platform modernization project for a global retail bank supporting 5M+ checking accounts, replacing an aging mainframe infrastructure with a cloud-native microservice architecture that expanded transaction limits by 180% while establishing multi-region asynchronous state replication models across critical transactional ledger instances to eliminate historical nightly batch-processing bottlenecks, guarantee continuous database state visibility, and introduce high-performance event-sourcing architectures based on Apache Kafka messaging fabrics that systematically insulate the institution from runtime network isolation drops, while additionally enforcing strict mutual TLS encryption standards and cross-border data sovereignty compliance matrices across all production environments, effectively modernizing the bank's technical foundation to handle unprecedented seasonal traffic bursts without experiencing cluster degradation or regional memory saturation events, running comprehensive high-concurrency chaos engineering simulations to actively stress-test localized node failover boundaries, and validating end-to-end atomic accounting consistency across separate global database shards under severe network partition conditions. [Achievement 21]</w:t>
      </w:r>
    </w:p>
    <w:p w14:paraId="10338794" w14:textId="77777777" w:rsidR="00EB4AE9" w:rsidRDefault="00EB4AE9" w:rsidP="00EB4AE9">
      <w:r>
        <w:t xml:space="preserve">* Led the technical and financial due diligence review for an institutional wealth management merger valued at $145M, auditing 3.5M records, mapping data system dependencies, and eliminating $4.6M in post-close duplicative cloud infrastructure outlays by standardizing dynamic computing constraints across newly acquired cluster setups, migrating legacy bare-metal server infrastructure into highly flexible, automated Kubernetes container environments, and auditing unoptimized code modules to slash compute resource consumption metrics during high-concurrency market trading windows, thereby establishing a clean baseline for future digital asset integrations, unifying disparate cross-functional IT operations teams under a single dashboard framework, completely eliminating redundant software licensing overlapping arrays that historically inflated corporate technology operational budgets, executing deep dependency-mapping sweeps across aging third-party middleware integrations to reveal hidden technical liabilities, and structuring a highly predictable, multi-year </w:t>
      </w:r>
      <w:r>
        <w:lastRenderedPageBreak/>
        <w:t>technological amortization framework that perfectly aligns post-merger run-rate expenditures with target equity allocation objectives. [Achievement 22]</w:t>
      </w:r>
    </w:p>
    <w:p w14:paraId="23E4DFBB" w14:textId="77777777" w:rsidR="00EB4AE9" w:rsidRDefault="00EB4AE9" w:rsidP="00EB4AE9">
      <w:r>
        <w:t xml:space="preserve">* Architected a real-time risk assessment and automated fraud monitoring system for an international merchant processor, decreasing the lifetime of undetected fraudulent transactions from 4 hours down to an elite 12-second window by embedding ultra-high-speed memory-cached data processing models within core message routing arrays, writing hyper-dimensional vector compliance mapping algorithms, and integrating automated localized machine learning inference engines that intercept malicious transaction strings at the immediate digital point-of-sale terminal entry layer before core ledger settlement occurs, effectively neutralizing systemic cyber vulnerabilities, safeguarding high-volume institutional banking lines from targeted routing exploits, embedding predictive payload telemetry metrics directly into the central security operations </w:t>
      </w:r>
      <w:proofErr w:type="spellStart"/>
      <w:r>
        <w:t>center's</w:t>
      </w:r>
      <w:proofErr w:type="spellEnd"/>
      <w:r>
        <w:t xml:space="preserve"> alerting console, deploying deep packet inspection checks that scrub malformed metadata structures from incoming cross-border settlement requests, and constructing isolated containerized sandboxes to dynamically quarantine suspicious transaction loops without halting parallel clearing operations. [Achievement 23]</w:t>
      </w:r>
    </w:p>
    <w:p w14:paraId="1E67CDCC" w14:textId="77777777" w:rsidR="00EB4AE9" w:rsidRDefault="00EB4AE9" w:rsidP="00EB4AE9">
      <w:r>
        <w:t>* Coordinated the routine scheduling, operational resource balancing, and internal task tracking allocations for junior business analysts assigned to the financial services consulting practice, ensuring baseline utilization goals were steadily maintained, client-facing status reports were delivered in full alignment with standard engagement delivery blueprints, and organizing continuous professional development bootcamps focused on emerging regulatory reporting compliance mandates across international banking structures.</w:t>
      </w:r>
    </w:p>
    <w:p w14:paraId="0F4EBBD1" w14:textId="77777777" w:rsidR="00EB4AE9" w:rsidRDefault="00EB4AE9" w:rsidP="00EB4AE9">
      <w:r>
        <w:t>* Compressed annual financial application support operational overhead metrics by 36% for an advisory client by automating internal batch reconciliation routines, removing manual data lookup bottlenecks, implementing self-healing data pipeline protocols across distributed processing channels, and designing complex programmatic error-handling wrappers that automatically correct minor database format mismatches without requiring manual human intervention from engineering support teams during active transactional operational loops, thereby freeing critical engineering resources to focus exclusively on deploying high-priority public-facing software updates, streamlining backend structural dependencies, systematically dropping systemic data exception occurrence baselines across all production clearing rails, executing strict algorithmic regression testing to insulate downstream financial reporting modules from upstream data schema variations, and introducing intelligent dead-letter queue routing protocols that automatically isolate corrupted payloads for asynchronous forensic analysis. [Achievement 24]</w:t>
      </w:r>
    </w:p>
    <w:p w14:paraId="5A87F6F3" w14:textId="77777777" w:rsidR="00EB4AE9" w:rsidRDefault="00EB4AE9" w:rsidP="00EB4AE9">
      <w:r>
        <w:lastRenderedPageBreak/>
        <w:t xml:space="preserve">* Spearheaded a major compliance remediation program for an international investment firm facing strict regulatory scrutiny, building 120 automated data verification checks to ensure total alignment with updated anti-money laundering protocols, replacing bloated validation systems with declarative open policy agent tools, and establishing an immutable, continuously updated digital audit trail that tracks end-to-end tokenized customer asset movements across shifting international sovereign jurisdictions, which completely insulated the financial entity from severe regulatory penalties, restored full operational validation status, allowed compliance officers to instantly extract comprehensive cross-border transaction summaries during subsequent institutional auditing reviews, deployed real-time customer risk-scoring sub-routines that </w:t>
      </w:r>
      <w:proofErr w:type="spellStart"/>
      <w:r>
        <w:t>analyze</w:t>
      </w:r>
      <w:proofErr w:type="spellEnd"/>
      <w:r>
        <w:t xml:space="preserve"> shifting </w:t>
      </w:r>
      <w:proofErr w:type="spellStart"/>
      <w:r>
        <w:t>behavioral</w:t>
      </w:r>
      <w:proofErr w:type="spellEnd"/>
      <w:r>
        <w:t xml:space="preserve"> telemetry profiles, and established automated suspicious activity report filing mechanics that interface directly with regulatory clearing networks to drastically shorten compliance disclosure cycles. [Achievement 25]</w:t>
      </w:r>
    </w:p>
    <w:p w14:paraId="2D19A0B2" w14:textId="77777777" w:rsidR="00EB4AE9" w:rsidRDefault="00EB4AE9" w:rsidP="00EB4AE9"/>
    <w:p w14:paraId="4B368D07" w14:textId="77777777" w:rsidR="00EB4AE9" w:rsidRDefault="00EB4AE9" w:rsidP="00EB4AE9">
      <w:r>
        <w:t>&gt; **CASE STUDY 3: Enterprise Treasury Optimization &amp; Liquidity Management**</w:t>
      </w:r>
    </w:p>
    <w:p w14:paraId="06CD2082" w14:textId="77777777" w:rsidR="00EB4AE9" w:rsidRDefault="00EB4AE9" w:rsidP="00EB4AE9">
      <w:r>
        <w:t xml:space="preserve">&gt; * **Client </w:t>
      </w:r>
      <w:proofErr w:type="gramStart"/>
      <w:r>
        <w:t>Context:*</w:t>
      </w:r>
      <w:proofErr w:type="gramEnd"/>
      <w:r>
        <w:t>* A multinational trade finance institution operating across 14 sovereign jurisdictions was experiencing extreme capital friction due to fragmented banking relationships, delayed multi-currency clearing cycles, and manual cash pooling methods that introduced severe overnight interest exposure risks.</w:t>
      </w:r>
    </w:p>
    <w:p w14:paraId="0664E256" w14:textId="77777777" w:rsidR="00EB4AE9" w:rsidRDefault="00EB4AE9" w:rsidP="00EB4AE9">
      <w:r>
        <w:t xml:space="preserve">* **Diagnostic &amp; </w:t>
      </w:r>
      <w:proofErr w:type="gramStart"/>
      <w:r>
        <w:t>Intervention:*</w:t>
      </w:r>
      <w:proofErr w:type="gramEnd"/>
      <w:r>
        <w:t>* Directed an intense 14-week operational overhaul of the client's global treasury management systems. Led a comprehensive assessment of cross-border payment velocities and capital visibility delays across 45 separate regional bank accounts. Engineered a centralized cash-pooling framework integrated with real-time API connection layers that consolidated daily currency positions into a single global dashboard, allowing treasury officers to execute automated end-of-day sweep protocols across mixed international currencies.</w:t>
      </w:r>
    </w:p>
    <w:p w14:paraId="674BBF2D" w14:textId="77777777" w:rsidR="00EB4AE9" w:rsidRDefault="00EB4AE9" w:rsidP="00EB4AE9">
      <w:r>
        <w:t xml:space="preserve">* **Quantifiable </w:t>
      </w:r>
      <w:proofErr w:type="gramStart"/>
      <w:r>
        <w:t>Outcomes:*</w:t>
      </w:r>
      <w:proofErr w:type="gramEnd"/>
      <w:r>
        <w:t>* Reduced cross-border transaction settlement times from 3 business days down to less than 4 minutes, expanding accessible daily liquidity limits by 42% and generating an incremental $5.8M in annual interest optimization gains through the elimination of fragmented cash holdings to stabilize corporate finance streams. [Achievement 26]</w:t>
      </w:r>
    </w:p>
    <w:p w14:paraId="5FF21B8E" w14:textId="77777777" w:rsidR="00EB4AE9" w:rsidRDefault="00EB4AE9" w:rsidP="00EB4AE9"/>
    <w:p w14:paraId="6617FA3D" w14:textId="77777777" w:rsidR="00EB4AE9" w:rsidRDefault="00EB4AE9" w:rsidP="00EB4AE9">
      <w:r>
        <w:t xml:space="preserve">* Renegotiated core clearing and transactional processing agreements for a digital brokerage startup, cutting variable client trading execution overhead by 24% across all processing channels by leveraging growing volume projections to secure a highly </w:t>
      </w:r>
      <w:proofErr w:type="spellStart"/>
      <w:r>
        <w:t>favorable</w:t>
      </w:r>
      <w:proofErr w:type="spellEnd"/>
      <w:r>
        <w:t xml:space="preserve"> long-term scale tariff, compress background transactional friction arrays, and </w:t>
      </w:r>
      <w:r>
        <w:lastRenderedPageBreak/>
        <w:t>optimize internal order routing loops to capture elite pricing increments across separate national equity exchange structures, which structurally insulated the firm's underlying retail broker margins from unexpected market-maker tariff adjustments during volatile trading sessions, significantly lowered transaction clearing friction, provided a predictable financial framework to support rapid multi-regional user acquisition strategies, and completely restructured sub-broker volume discount tables to maximize margin capture across high-frequency retail options clearing tracks. [Achievement 27]</w:t>
      </w:r>
    </w:p>
    <w:p w14:paraId="40E7E654" w14:textId="77777777" w:rsidR="00EB4AE9" w:rsidRDefault="00EB4AE9" w:rsidP="00EB4AE9">
      <w:r>
        <w:t>* Designed a dynamic capital allocation model for a commercial credit provider, allowing underwriting teams to assess loan portfolio exposure parameters against fluctuating macroeconomic indicators, stress-test default vectors within 5 minutes of data input, and dynamically adjust active risk weights across thousands of commercial credit lines using advanced automated Monte Carlo calculation models built straight into the core banking data plane, which fundamentally modernized the lender's risk-pricing matrix, protected capital reserves during simulated credit contractions, delivered an institutional single-source-of-truth for credit risk management, and integrated real-time global interest rate indices to automate net interest margin vulnerability forecasts across mixed asset classes. [Achievement 28]</w:t>
      </w:r>
    </w:p>
    <w:p w14:paraId="1B7BFB23" w14:textId="77777777" w:rsidR="00EB4AE9" w:rsidRDefault="00EB4AE9" w:rsidP="00EB4AE9">
      <w:r>
        <w:t>* Conducted weekly alignment workshops and technical steering committee meetings between client-side database administration departments and external software development groups to maintain operational visibility over infrastructure migration tracks, prevent communication silos, draft detailed technical migration minutes for executive review, and establish unified change-management approval tokens across separate software staging zones.</w:t>
      </w:r>
    </w:p>
    <w:p w14:paraId="7E5E204A" w14:textId="77777777" w:rsidR="00EB4AE9" w:rsidRDefault="00EB4AE9" w:rsidP="00EB4AE9">
      <w:r>
        <w:t>* Directed the post-acquisition data store synthesis for an insurance technology client, migrating 8.4B historical data fields to a centralized cloud environment with zero platform downtime or transactional data loss events through the execution of parallel shadow-writing database synchronization models, real-time data cleansing routines, and strict automated database constraints that cross-referenced transactional state indices at the byte level before deprecating target legacy host environments, maintaining total reporting integrity, zero interruption to active client services, providing historical analytics teams with instantaneous access to high-fidelity, uncompressed transactional metadata layers, and configuring automated index-partitioning matrices that eliminate database table scan performance degradation across multi-terabyte archival log files. [Achievement 29]</w:t>
      </w:r>
    </w:p>
    <w:p w14:paraId="7C09A805" w14:textId="77777777" w:rsidR="00EB4AE9" w:rsidRDefault="00EB4AE9" w:rsidP="00EB4AE9">
      <w:r>
        <w:t xml:space="preserve">* Implemented a data-driven talent management model across a client's global internal financial operations division, improving staff delivery velocity by 31% while dropping localized voluntary personnel turnover metrics down to an exceptional 3% through structured skill mapping across distributed operational pod teams, the deletion of overlapping structural responsibilities, and the creation of optimized engineering </w:t>
      </w:r>
      <w:r>
        <w:lastRenderedPageBreak/>
        <w:t>mentorship tracks, which successfully standardizes delivery quality, lowers long-term contractor onboarding dependencies, ensures precise corporate knowledge retention across separate technical functional verticals, and establishes localized baseline engineering competencies linked directly to continuous performance assessment modules inside internal enterprise resource systems. [Achievement 30]</w:t>
      </w:r>
    </w:p>
    <w:p w14:paraId="197FD2D0" w14:textId="77777777" w:rsidR="00EB4AE9" w:rsidRDefault="00EB4AE9" w:rsidP="00EB4AE9">
      <w:r>
        <w:t xml:space="preserve">* Revamped the subscription data architecture for a major financial information vendor, shifting unoptimized flat reporting feeds to an enterprise-grade </w:t>
      </w:r>
      <w:proofErr w:type="spellStart"/>
      <w:r>
        <w:t>GraphQL</w:t>
      </w:r>
      <w:proofErr w:type="spellEnd"/>
      <w:r>
        <w:t xml:space="preserve"> API structure that cut client query response times by 75%, reduced internal server network traffic parameters, and allowed enterprise client applications to execute highly specific data extraction queries without causing thread contention or memory leaks across backend indexing nodes, boosting overall platform concurrency thresholds, streamlining downstream data deserialization workflows, optimizing global asset pricing distribution pipelines, and deploying robust data caching abstraction layers at regional content delivery nodes to eliminate repetitive database calculations during peak corporate earnings seasons. [Achievement 31]</w:t>
      </w:r>
    </w:p>
    <w:p w14:paraId="57C726F0" w14:textId="77777777" w:rsidR="00EB4AE9" w:rsidRDefault="00EB4AE9" w:rsidP="00EB4AE9"/>
    <w:p w14:paraId="0E2DB9EE" w14:textId="77777777" w:rsidR="00EB4AE9" w:rsidRDefault="00EB4AE9" w:rsidP="00EB4AE9">
      <w:r>
        <w:t>Apex Capital Consultants | Managing Consultant / Senior Financial Consultant</w:t>
      </w:r>
    </w:p>
    <w:p w14:paraId="0B4292CA" w14:textId="77777777" w:rsidR="00EB4AE9" w:rsidRDefault="00EB4AE9" w:rsidP="00EB4AE9">
      <w:r>
        <w:t>* Commanded financial process transformations, regulatory reporting modernizations, and cloud data integration strategies for institutional wealth managers, specialized lenders, and corporate finance departments to establish highly scalable background operating models.</w:t>
      </w:r>
    </w:p>
    <w:p w14:paraId="1406131F" w14:textId="77777777" w:rsidR="00EB4AE9" w:rsidRDefault="00EB4AE9" w:rsidP="00EB4AE9">
      <w:r>
        <w:t>* Maintained the master repository of technical process maps and architectural diagrams for the corporate finance advisory group, updating internal knowledge stores to reflect system dependencies and data ingestion routes across client-hosted database systems, and compiling comprehensive technical dictionaries to standardize development terminology across cross-functional consulting teams.</w:t>
      </w:r>
    </w:p>
    <w:p w14:paraId="48184788" w14:textId="77777777" w:rsidR="00EB4AE9" w:rsidRDefault="00EB4AE9" w:rsidP="00EB4AE9">
      <w:r>
        <w:t>* Delivered an automated regulatory reporting system for a commercial lender, dropping the average time required to assemble complex quarterly financial filings by 70% from 3 weeks down to 2 business days by automating underlying cross-system database lookup architectures, eliminating manual spreadsheet extraction loops, and engineering direct software linkages to an automated cloud-native XBRL parsing gateway to ensure bulletproof data transparency, satisfying strict federal oversight mandates, optimizing internal corporate compliance verification workflows, structurally insulating the institution's financial operations team from severe reporting deadline stress, and deploying continuous background anomaly monitoring filters that automatically flag data variances between parallel localized and federal reporting ledger modules before final submission. [Achievement 32]</w:t>
      </w:r>
    </w:p>
    <w:p w14:paraId="667CF9E1" w14:textId="77777777" w:rsidR="00EB4AE9" w:rsidRDefault="00EB4AE9" w:rsidP="00EB4AE9">
      <w:r>
        <w:lastRenderedPageBreak/>
        <w:t>* Guided a technical debt mitigation initiative for an international payment gateway client, refactoring unoptimized ledger processing scripts to save $1.4M in annual compute hosting outlays while permanently eliminating transactional validation bottleneck arrays, reducing platform API response times during intense global e-commerce traffic events, and optimizing server memory allocation profiles across regional hosting facilities, thereby ensuring highly resilient transactional scale pathways during seasonal peak volume windows, minimizing cloud database timeouts, establishing an extensible, clear code architecture for future financial technology releases, and embedding granular memory profiling telemetry parameters straight into the centralized continuous integration development pipeline to intercept unoptimized loops before production deployment. [Achievement 33]</w:t>
      </w:r>
    </w:p>
    <w:p w14:paraId="638B25E5" w14:textId="77777777" w:rsidR="00EB4AE9" w:rsidRDefault="00EB4AE9" w:rsidP="00EB4AE9">
      <w:r>
        <w:t>* Formulated internal training materials, documentation templates, and configuration runbooks aimed at helping client-side system operators manage standard backend cloud database connections, ensuring long-term operational consistency after formal consulting engagements draw to a close, conducting deep-dive architectural post-mortems with client technology leads, and creating self-paced digital learning paths covering advanced enterprise state synchronization frameworks.</w:t>
      </w:r>
    </w:p>
    <w:p w14:paraId="6C39B760" w14:textId="77777777" w:rsidR="00EB4AE9" w:rsidRDefault="00EB4AE9" w:rsidP="00EB4AE9"/>
    <w:p w14:paraId="7D3CE15F" w14:textId="77777777" w:rsidR="00EB4AE9" w:rsidRDefault="00EB4AE9" w:rsidP="00EB4AE9">
      <w:r>
        <w:t xml:space="preserve">&gt; **CASE STUDY 4: Real-Time Profitability </w:t>
      </w:r>
      <w:proofErr w:type="spellStart"/>
      <w:r>
        <w:t>Modeling</w:t>
      </w:r>
      <w:proofErr w:type="spellEnd"/>
      <w:r>
        <w:t xml:space="preserve"> for Commercial Lending Portfolios**</w:t>
      </w:r>
    </w:p>
    <w:p w14:paraId="239EF153" w14:textId="77777777" w:rsidR="00EB4AE9" w:rsidRDefault="00EB4AE9" w:rsidP="00EB4AE9">
      <w:r>
        <w:t xml:space="preserve">&gt; * **Client </w:t>
      </w:r>
      <w:proofErr w:type="gramStart"/>
      <w:r>
        <w:t>Context:*</w:t>
      </w:r>
      <w:proofErr w:type="gramEnd"/>
      <w:r>
        <w:t>* A mid-market commercial lender was suffering from severe loan origination bottlenecks, high underwriting operational costs, and an inability to accurately price risk profiles during periods of rapid interest rate volatility across regional commercial real estate markets.</w:t>
      </w:r>
    </w:p>
    <w:p w14:paraId="239CC1B7" w14:textId="77777777" w:rsidR="00EB4AE9" w:rsidRDefault="00EB4AE9" w:rsidP="00EB4AE9">
      <w:r>
        <w:t xml:space="preserve">* **Diagnostic &amp; </w:t>
      </w:r>
      <w:proofErr w:type="gramStart"/>
      <w:r>
        <w:t>Intervention:*</w:t>
      </w:r>
      <w:proofErr w:type="gramEnd"/>
      <w:r>
        <w:t>* Led a cross-functional consulting pod to redesign the client's end-to-end credit underwriting framework from the ground up. Replaced a disconnected array of manual spreadsheets with an integrated, algorithmic credit-scoring engine. The new engine automatically pulled alternative transaction indicators, historical cash flows, and industry-specific risk matrices via secure external APIs, calculating instant borrower risk metrics and proposing dynamic margin structures to protect lender yield parameters.</w:t>
      </w:r>
    </w:p>
    <w:p w14:paraId="4FC044AC" w14:textId="77777777" w:rsidR="00EB4AE9" w:rsidRDefault="00EB4AE9" w:rsidP="00EB4AE9">
      <w:r>
        <w:t xml:space="preserve">* **Quantifiable </w:t>
      </w:r>
      <w:proofErr w:type="gramStart"/>
      <w:r>
        <w:t>Outcomes:*</w:t>
      </w:r>
      <w:proofErr w:type="gramEnd"/>
      <w:r>
        <w:t>* Compressed average loan underwriting turnaround times by an elite 84% from 12 business days down to less than 24 hours, while expanding total loan origination capacity by 150% without increasing baseline risk parameters or corporate underwriting headcount configurations to safeguard high-margin commercial portfolios. [Achievement 34]</w:t>
      </w:r>
    </w:p>
    <w:p w14:paraId="1E17675C" w14:textId="77777777" w:rsidR="00EB4AE9" w:rsidRDefault="00EB4AE9" w:rsidP="00EB4AE9"/>
    <w:p w14:paraId="02E4E4FB" w14:textId="77777777" w:rsidR="00EB4AE9" w:rsidRDefault="00EB4AE9" w:rsidP="00EB4AE9">
      <w:r>
        <w:lastRenderedPageBreak/>
        <w:t xml:space="preserve">* Following the formal finalization of these strategic optimization milestones, the overarching operational data integration pipelines proceeded through an intensive sequence of post-close reviews directed by the joint program management office to </w:t>
      </w:r>
      <w:proofErr w:type="gramStart"/>
      <w:r>
        <w:t>completely eliminate</w:t>
      </w:r>
      <w:proofErr w:type="gramEnd"/>
      <w:r>
        <w:t xml:space="preserve"> legacy inefficiencies. These structural governance protocols tracked backend data transmission paths, verified system telemetry parameters across all connected asset pools, established rigorous cross-system validation checks, automated routine error auditing, and unified global security firewalls, thereby eliminating duplicative database connections, standardizing API configuration files, and ensuring absolute framework harmony across separate lines of business.</w:t>
      </w:r>
    </w:p>
    <w:p w14:paraId="22311946" w14:textId="77777777" w:rsidR="00EB4AE9" w:rsidRDefault="00EB4AE9" w:rsidP="00EB4AE9">
      <w:r>
        <w:t>* Concurrently, a complete structural reorganization of the internal core banking advisory practice was initiated to remove existing workflow ambiguities, minimize background operational bottlenecks, and optimize resource allocation targets across distributed consulting pods facing intense delivery schedules. This strategic realignment established transparent, metrics-driven development tracks, introduced unified platform engineering guidelines, deployed automated engineering capacity tracking systems, built specialized functional focus teams, and aligned professional career matrices with evolving corporate service lines to support long-term operational growth goals.</w:t>
      </w:r>
    </w:p>
    <w:p w14:paraId="50A34CBA" w14:textId="77777777" w:rsidR="00EB4AE9" w:rsidRDefault="00EB4AE9" w:rsidP="00EB4AE9">
      <w:r>
        <w:t>* Further administrative consolidation efforts focused heavily on the optimization of third-party software licensing agreements, enterprise tooling matrices, and cloud computing allocations utilized by the client's risk analytics teams to streamline global technology footprints. By introducing centralized procurement filters, automating idle database machine terminations, re-routing non-critical computational jobs to off-peak hours, and establishing policy-driven compute controls, the advisory division successfully mitigated systemic technical debt liabilities, minimized operational friction spikes, and built a highly scalable, repeatable target operating model for future asset ingestions.</w:t>
      </w:r>
    </w:p>
    <w:p w14:paraId="23C35231" w14:textId="77777777" w:rsidR="00EB4AE9" w:rsidRDefault="00EB4AE9" w:rsidP="00EB4AE9"/>
    <w:p w14:paraId="1734D461" w14:textId="77777777" w:rsidR="00EB4AE9" w:rsidRDefault="00EB4AE9" w:rsidP="00EB4AE9">
      <w:r>
        <w:t>EDUCATION</w:t>
      </w:r>
    </w:p>
    <w:p w14:paraId="60C45804" w14:textId="77777777" w:rsidR="00EB4AE9" w:rsidRDefault="00EB4AE9" w:rsidP="00EB4AE9">
      <w:r>
        <w:t>M.S. in Computational Finance | Carnegie Mellon University</w:t>
      </w:r>
    </w:p>
    <w:p w14:paraId="420BA56D" w14:textId="677175EE" w:rsidR="00B060C4" w:rsidRPr="00EB4AE9" w:rsidRDefault="00EB4AE9" w:rsidP="00EB4AE9">
      <w:r>
        <w:t>B.S. in Finance &amp; Computer Science | University of Illinois Urbana-Champaign</w:t>
      </w:r>
    </w:p>
    <w:sectPr w:rsidR="00B060C4" w:rsidRPr="00EB4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20C51"/>
    <w:rsid w:val="00056D86"/>
    <w:rsid w:val="00077B70"/>
    <w:rsid w:val="00165191"/>
    <w:rsid w:val="00212250"/>
    <w:rsid w:val="002646E4"/>
    <w:rsid w:val="00282F98"/>
    <w:rsid w:val="002A4E6E"/>
    <w:rsid w:val="002C5FCA"/>
    <w:rsid w:val="003F7443"/>
    <w:rsid w:val="00407FE8"/>
    <w:rsid w:val="0045770E"/>
    <w:rsid w:val="005A3946"/>
    <w:rsid w:val="005F6CA8"/>
    <w:rsid w:val="00700170"/>
    <w:rsid w:val="00707915"/>
    <w:rsid w:val="00800EBE"/>
    <w:rsid w:val="009068E1"/>
    <w:rsid w:val="00921CE7"/>
    <w:rsid w:val="00A76DB6"/>
    <w:rsid w:val="00AC30B2"/>
    <w:rsid w:val="00B060C4"/>
    <w:rsid w:val="00B41A46"/>
    <w:rsid w:val="00BA4793"/>
    <w:rsid w:val="00BA4F93"/>
    <w:rsid w:val="00BD0166"/>
    <w:rsid w:val="00BD0DC5"/>
    <w:rsid w:val="00D43BEC"/>
    <w:rsid w:val="00D558F4"/>
    <w:rsid w:val="00DE1974"/>
    <w:rsid w:val="00E75182"/>
    <w:rsid w:val="00EB4AE9"/>
    <w:rsid w:val="00F1498B"/>
    <w:rsid w:val="00F6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3185</Words>
  <Characters>18156</Characters>
  <Application>Microsoft Office Word</Application>
  <DocSecurity>0</DocSecurity>
  <Lines>151</Lines>
  <Paragraphs>42</Paragraphs>
  <ScaleCrop>false</ScaleCrop>
  <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31</cp:revision>
  <dcterms:created xsi:type="dcterms:W3CDTF">2026-06-04T16:37:00Z</dcterms:created>
  <dcterms:modified xsi:type="dcterms:W3CDTF">2026-06-04T22:01:00Z</dcterms:modified>
</cp:coreProperties>
</file>