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101F" w14:textId="77777777" w:rsidR="005535BE" w:rsidRDefault="005535BE" w:rsidP="005535BE">
      <w:r>
        <w:t>CV-ID: CV25</w:t>
      </w:r>
    </w:p>
    <w:p w14:paraId="6DF2CBB6" w14:textId="3EA82D10" w:rsidR="00BA0412" w:rsidRDefault="00BA0412" w:rsidP="005535BE">
      <w:r>
        <w:t xml:space="preserve">CV OF </w:t>
      </w:r>
      <w:r w:rsidRPr="00BA0412">
        <w:t>Thomas Haddad</w:t>
      </w:r>
    </w:p>
    <w:p w14:paraId="788373E3" w14:textId="77777777" w:rsidR="005535BE" w:rsidRDefault="005535BE" w:rsidP="005535BE">
      <w:r>
        <w:t>TARGET ROLE: Full Professor &amp; Department Chair (Econometrics &amp; Quantitative Economics)</w:t>
      </w:r>
    </w:p>
    <w:p w14:paraId="6601CAC4" w14:textId="77777777" w:rsidR="005535BE" w:rsidRDefault="005535BE" w:rsidP="005535BE">
      <w:r>
        <w:t>CONTACT: cv25@evaluation-dataset.local</w:t>
      </w:r>
    </w:p>
    <w:p w14:paraId="6DCCB26B" w14:textId="77777777" w:rsidR="005535BE" w:rsidRDefault="005535BE" w:rsidP="005535BE"/>
    <w:p w14:paraId="60E59E51" w14:textId="77777777" w:rsidR="005535BE" w:rsidRDefault="005535BE" w:rsidP="005535BE">
      <w:r>
        <w:t>PROFESSIONAL SUMMARY</w:t>
      </w:r>
    </w:p>
    <w:p w14:paraId="63F7758C" w14:textId="77777777" w:rsidR="005535BE" w:rsidRDefault="005535BE" w:rsidP="005535BE">
      <w:r>
        <w:t xml:space="preserve">Distinguished academic leader, macroeconomist, and tenured Professor with over 15 years of progressive institutional experience directing quantitative research laboratories, orchestrating multi-million-dollar cross-border research grants, and governing complex departmental curriculum restructurings within elite research universities. Recognized authority in structural econometrics, time-series analysis, and predictive </w:t>
      </w:r>
      <w:proofErr w:type="spellStart"/>
      <w:r>
        <w:t>labor</w:t>
      </w:r>
      <w:proofErr w:type="spellEnd"/>
      <w:r>
        <w:t xml:space="preserve">-market </w:t>
      </w:r>
      <w:proofErr w:type="spellStart"/>
      <w:r>
        <w:t>modeling</w:t>
      </w:r>
      <w:proofErr w:type="spellEnd"/>
      <w:r>
        <w:t xml:space="preserve"> frameworks, with a deep publishing history across tier-1 peer-reviewed academic journals. Adept at bridging the gap between theoretical economic research and global public policy, managing institutional departmental budgets, advising doctoral candidates through complex dissertation </w:t>
      </w:r>
      <w:proofErr w:type="spellStart"/>
      <w:r>
        <w:t>defenses</w:t>
      </w:r>
      <w:proofErr w:type="spellEnd"/>
      <w:r>
        <w:t>, and cultivating strategic academic partnerships with international central banks and sovereign wealth funds to amplify institutional research footprints.</w:t>
      </w:r>
    </w:p>
    <w:p w14:paraId="276559D2" w14:textId="77777777" w:rsidR="005535BE" w:rsidRDefault="005535BE" w:rsidP="005535BE"/>
    <w:p w14:paraId="76339E95" w14:textId="77777777" w:rsidR="005535BE" w:rsidRDefault="005535BE" w:rsidP="005535BE">
      <w:r>
        <w:t>CORE COMPETENCIES &amp; ACADEMIC GOVERNANCE</w:t>
      </w:r>
    </w:p>
    <w:p w14:paraId="3557BD67" w14:textId="77777777" w:rsidR="005535BE" w:rsidRDefault="005535BE" w:rsidP="005535BE">
      <w:r>
        <w:t xml:space="preserve">Research Specialization: Non-Linear Time-Series </w:t>
      </w:r>
      <w:proofErr w:type="spellStart"/>
      <w:r>
        <w:t>Modeling</w:t>
      </w:r>
      <w:proofErr w:type="spellEnd"/>
      <w:r>
        <w:t>, High-Dimensional Econometrics, Applied Macro-Labor Economics</w:t>
      </w:r>
    </w:p>
    <w:p w14:paraId="0209FB41" w14:textId="77777777" w:rsidR="005535BE" w:rsidRDefault="005535BE" w:rsidP="005535BE">
      <w:r>
        <w:t>Departmental Leadership: Faculty Recruitment &amp; Tenure Review Governance, Budget Administration, Curriculum De-siloing</w:t>
      </w:r>
    </w:p>
    <w:p w14:paraId="53F89021" w14:textId="77777777" w:rsidR="005535BE" w:rsidRDefault="005535BE" w:rsidP="005535BE">
      <w:r>
        <w:t>Pedagogical Excellence: Ph.D. Dissertation Mentorship, Advanced Graduate Seminars, Interdisciplinary Matrix Design</w:t>
      </w:r>
    </w:p>
    <w:p w14:paraId="01BE1F95" w14:textId="77777777" w:rsidR="005535BE" w:rsidRDefault="005535BE" w:rsidP="005535BE">
      <w:r>
        <w:t>Institutional Advancement: Federal Research Grant Writing, Global Research Consortium Administration, Ethics Board Oversight</w:t>
      </w:r>
    </w:p>
    <w:p w14:paraId="75CE3639" w14:textId="77777777" w:rsidR="005535BE" w:rsidRDefault="005535BE" w:rsidP="005535BE"/>
    <w:p w14:paraId="0303112A" w14:textId="77777777" w:rsidR="005535BE" w:rsidRDefault="005535BE" w:rsidP="005535BE">
      <w:r>
        <w:t>CHRONOLOGICAL ACADEMIC HISTORY &amp; REVENUE RECORD</w:t>
      </w:r>
    </w:p>
    <w:p w14:paraId="27B62464" w14:textId="77777777" w:rsidR="005535BE" w:rsidRDefault="005535BE" w:rsidP="005535BE">
      <w:r>
        <w:t>Vanguard Research University | Professor &amp; Department Chair (Economics)</w:t>
      </w:r>
    </w:p>
    <w:p w14:paraId="119EE9A6" w14:textId="77777777" w:rsidR="005535BE" w:rsidRDefault="005535BE" w:rsidP="005535BE">
      <w:r>
        <w:t xml:space="preserve">* Assumes overall administrative accountability, curricular review mandates, and strategic research planning for a major department encompassing 45 full-time faculty </w:t>
      </w:r>
      <w:r>
        <w:lastRenderedPageBreak/>
        <w:t>lines and 220 active graduate students, organizing continuous pedagogical peer reviews and coordinating with institutional oversight bodies to maintain international accreditation standards. This heavy administrative responsibility requires exhaustive documentation maintenance, continuous bi-annual reporting loops with regional programmatic validation boards, and direct daily coordination with the Office of Academic Budgeting to manage baseline fiscal allocations, oversee line-item expenditures, manage discretionary spending accounts, and ensure total compliance with institutional financial mandates. Furthermore, this role requires the constant oversight of departmental operational workflows, the formatting of weekly academic circulars, the manual validation of classroom utilization grids, and the balancing of multi-semester teaching load metrics across separate sub-specialty divisions to prevent structural administrative friction. This complex administrative paradigm requires the department chair to sit on multiple redundant university steering committees, drafting excessively long institutional briefs that repeat basic departmental statistics, manual review of individual faculty office hour log sheets, and the tedious, repetitive formatting of tri-annual self-study dossiers for external accreditation boards that insist on reviewing identical metrics year after year.</w:t>
      </w:r>
    </w:p>
    <w:p w14:paraId="18763D34" w14:textId="77777777" w:rsidR="005535BE" w:rsidRDefault="005535BE" w:rsidP="005535BE">
      <w:r>
        <w:t xml:space="preserve">* Conducted a total modernization of the departmental Ph.D. Core Econometrics track across 4 distinct regional campus nodes, replacing a fragmented, legacy curriculum with an integrated, computational data-science paradigm that expanded </w:t>
      </w:r>
      <w:proofErr w:type="spellStart"/>
      <w:r>
        <w:t>enrollment</w:t>
      </w:r>
      <w:proofErr w:type="spellEnd"/>
      <w:r>
        <w:t xml:space="preserve"> capacity by 150% without requiring additional adjunct faculty allocations by establishing centralized asynchronous video lecture frameworks, constructing open-source algorithmic exercise banks, and designing unified code repos that systematically insulate graduate training pipelines from localized instructional variances, running extensive cohort tracking metrics to stress-test learning retention thresholds under variable instructional paces, and validating academic mastery profiles against federal </w:t>
      </w:r>
      <w:proofErr w:type="spellStart"/>
      <w:r>
        <w:t>labor</w:t>
      </w:r>
      <w:proofErr w:type="spellEnd"/>
      <w:r>
        <w:t xml:space="preserve"> data criteria. [Achievement 1]</w:t>
      </w:r>
    </w:p>
    <w:p w14:paraId="0B16BAB4" w14:textId="77777777" w:rsidR="005535BE" w:rsidRDefault="005535BE" w:rsidP="005535BE">
      <w:r>
        <w:t xml:space="preserve">* Spearheaded the formal operational coordination and administrative resource balancing protocols for junior tenure-track assistant professors assigned to the </w:t>
      </w:r>
      <w:proofErr w:type="spellStart"/>
      <w:r>
        <w:t>behavioral</w:t>
      </w:r>
      <w:proofErr w:type="spellEnd"/>
      <w:r>
        <w:t xml:space="preserve"> economics research wing, ensuring baseline teaching-hour allocations were strictly maintained in accordance with institutional statutory guidelines, reviewing manuscript staging tracks for upcoming peer-reviewed publications, and organizing continuous professional development bootcamps focused on extracting alternative metrics from data-driven academic citations. This extensive onboarding paradigm includes designing multi-layered micro-teaching evaluation frameworks, </w:t>
      </w:r>
      <w:proofErr w:type="spellStart"/>
      <w:r>
        <w:t>cataloging</w:t>
      </w:r>
      <w:proofErr w:type="spellEnd"/>
      <w:r>
        <w:t xml:space="preserve"> departmental data storage permissions, tracking academic colloquium attendance registries, and building internal citation indexing software tools to verify research resonance metrics across global indexing frameworks long before formal tenure review packets are assembled for executive dean inspection loops. To expand upon this, the tracking system requires manual verification of cross-institutional co-authorship </w:t>
      </w:r>
      <w:r>
        <w:lastRenderedPageBreak/>
        <w:t xml:space="preserve">agreements, deep-dive indexing of public research repositories, continuous monitoring of international conference panel allocations, and the creation of comprehensive, multi-page feedback reports that </w:t>
      </w:r>
      <w:proofErr w:type="spellStart"/>
      <w:r>
        <w:t>analyze</w:t>
      </w:r>
      <w:proofErr w:type="spellEnd"/>
      <w:r>
        <w:t xml:space="preserve"> every single baseline variable of an assistant professor's output to guarantee flawless synchronization with long-term tenure expectations. This manual monitoring work is explicitly duplicated across three separate subcommittee layers, each of which reads the exact same publications, types out highly wordy, near-identical evaluations utilizing slightly different pieces of bureaucratic jargon, and schedules repetitive oral consultation meetings with the candidates to emphasize operational feedback that has already been documented multiple times in writing.</w:t>
      </w:r>
    </w:p>
    <w:p w14:paraId="02053175" w14:textId="77777777" w:rsidR="005535BE" w:rsidRDefault="005535BE" w:rsidP="005535BE">
      <w:r>
        <w:t>* Managed the end-to-end proposal development, interdisciplinary coalition assembly, and institutional matching-fund protocols for an international consortium grant focused on sovereign debt vulnerabilities, securing a verified $3.8M in competitive federal funding from the National Science Foundation to support 12 post-doctoral fellowships and build a regional microdata computing laboratory equipped with secure remote-access storage arrays, thereby establishing an immutable baseline for subsequent policy-impact metrics and neutralizing long-standing archival data access limits for junior researchers. [Achievement 2]</w:t>
      </w:r>
    </w:p>
    <w:p w14:paraId="1C471379" w14:textId="77777777" w:rsidR="005535BE" w:rsidRDefault="005535BE" w:rsidP="005535BE">
      <w:r>
        <w:t xml:space="preserve">* Supervised the weekly administrative assembly, milestone tracking schedules, and programmatic task allocations for departmental graduate research assistants, ensuring standard university payroll compliance guidelines were steadily fulfilled, maintaining records of teaching assistant performance metrics, and compiling detailed annual reports for submission to the Office of Academic Affairs to justify future graduate line allocations. This institutional workflow requires conducting systematic grading rubrics audits, reviewing laboratory safety registration parameters, logging physical facility entry times across research </w:t>
      </w:r>
      <w:proofErr w:type="spellStart"/>
      <w:r>
        <w:t>centers</w:t>
      </w:r>
      <w:proofErr w:type="spellEnd"/>
      <w:r>
        <w:t xml:space="preserve">, and drafting extensive performance post-mortems for every active teaching cohort to guarantee complete procedural synchronization with evolving university </w:t>
      </w:r>
      <w:proofErr w:type="spellStart"/>
      <w:r>
        <w:t>labor</w:t>
      </w:r>
      <w:proofErr w:type="spellEnd"/>
      <w:r>
        <w:t xml:space="preserve"> union guidelines. Additionally, this manual auditing process involves reviewing time-card entries on a bi-weekly basis, compiling internal student complaint feedback metrics, cross-referencing grading distributions against historical departmental averages to spot mathematical skew patterns, and hosting redundant, mandatory orientation seminars designed to retrain graduate instructors on standard institutional documentation styles and backend system navigation pathways. This process is further weighed down by the requirement to physically print out, hand-sign, scan, and digitally upload individual time allocation sheets every single month, producing a massive paper trail that simply reiterates the digital log files already saved on the central university server network.</w:t>
      </w:r>
    </w:p>
    <w:p w14:paraId="6DC2C4C0" w14:textId="77777777" w:rsidR="005535BE" w:rsidRDefault="005535BE" w:rsidP="005535BE"/>
    <w:p w14:paraId="6402E8A4" w14:textId="77777777" w:rsidR="005535BE" w:rsidRDefault="005535BE" w:rsidP="005535BE">
      <w:r>
        <w:lastRenderedPageBreak/>
        <w:t>&gt; **INSTITUTIONAL CASE STUDY 1: Multi-Jurisdictional Labor Microdata Integration Project**</w:t>
      </w:r>
    </w:p>
    <w:p w14:paraId="5EA3D52F" w14:textId="77777777" w:rsidR="005535BE" w:rsidRDefault="005535BE" w:rsidP="005535BE">
      <w:r>
        <w:t xml:space="preserve">&gt; * **Institutional </w:t>
      </w:r>
      <w:proofErr w:type="gramStart"/>
      <w:r>
        <w:t>Context:*</w:t>
      </w:r>
      <w:proofErr w:type="gramEnd"/>
      <w:r>
        <w:t xml:space="preserve">* The university's economic policy </w:t>
      </w:r>
      <w:proofErr w:type="spellStart"/>
      <w:r>
        <w:t>center</w:t>
      </w:r>
      <w:proofErr w:type="spellEnd"/>
      <w:r>
        <w:t xml:space="preserve"> was struggling with severe institutional data-isolation barriers, fragmented regional data access agreements, and manual data harmonization methods that introduced severe research validation delays and compromised the accuracy of cross-border macroeconomic forecasting models.</w:t>
      </w:r>
    </w:p>
    <w:p w14:paraId="4E3664B5" w14:textId="77777777" w:rsidR="005535BE" w:rsidRDefault="005535BE" w:rsidP="005535BE">
      <w:r>
        <w:t xml:space="preserve">* **Diagnostic &amp; </w:t>
      </w:r>
      <w:proofErr w:type="gramStart"/>
      <w:r>
        <w:t>Intervention:*</w:t>
      </w:r>
      <w:proofErr w:type="gramEnd"/>
      <w:r>
        <w:t xml:space="preserve">* Directed an intense 24-week programmatic restructuring of the university's central economic microdata warehouse. Led a comprehensive overhaul of data security compliance vectors and multi-institutional data use agreements across 6 sovereign academic partners. Engineered a centralized, cloud-hosted secure processing sandbox integrated with automated anonymization scripts that consolidated disparate regional </w:t>
      </w:r>
      <w:proofErr w:type="spellStart"/>
      <w:r>
        <w:t>labor</w:t>
      </w:r>
      <w:proofErr w:type="spellEnd"/>
      <w:r>
        <w:t xml:space="preserve"> force datasets into a single accessible analytical dashboard, allowing credentialed researchers to run complex structural equations without compromising data privacy frameworks.</w:t>
      </w:r>
    </w:p>
    <w:p w14:paraId="17C25E88" w14:textId="77777777" w:rsidR="005535BE" w:rsidRDefault="005535BE" w:rsidP="005535BE">
      <w:r>
        <w:t xml:space="preserve">* **Quantifiable </w:t>
      </w:r>
      <w:proofErr w:type="gramStart"/>
      <w:r>
        <w:t>Outcomes:*</w:t>
      </w:r>
      <w:proofErr w:type="gramEnd"/>
      <w:r>
        <w:t>* Compressed average research data preprocessing turnarounds from 6 business weeks down to an elite 4 minutes, expanding accessible collaborative research dataset limits by 42% and generating a landmark $1.2M in recurring institutional database licensing efficiencies through the absolute elimination of fragmented localized database architectures. [Achievement 3]</w:t>
      </w:r>
    </w:p>
    <w:p w14:paraId="16B134AA" w14:textId="77777777" w:rsidR="005535BE" w:rsidRDefault="005535BE" w:rsidP="005535BE"/>
    <w:p w14:paraId="273E2C82" w14:textId="77777777" w:rsidR="005535BE" w:rsidRDefault="005535BE" w:rsidP="005535BE">
      <w:r>
        <w:t xml:space="preserve">* Following the formal finalization of these strategic curriculum modernizations, the overarching departmental operational data integration pipelines proceeded through an intensive sequence of post-close reviews directed by the university provost's office to </w:t>
      </w:r>
      <w:proofErr w:type="gramStart"/>
      <w:r>
        <w:t>completely eliminate</w:t>
      </w:r>
      <w:proofErr w:type="gramEnd"/>
      <w:r>
        <w:t xml:space="preserve"> historical administrative inefficiencies. These structural governance protocols tracked student completion vectors, verified system telemetry parameters across all connected research funding pools, established rigorous cross-system course evaluation checks, automated routine teaching assistant scheduling, and unified departmental storage repositories, thereby eliminating duplicative IT connections, standardizing course syllabus configuration files, and ensuring absolute framework harmony across separate lines of academic study. This administrative integration phase necessitated the drafting of deep-dive systemic configuration manuals, conducting dozens of cross-departmental alignment sessions connecting faculty leads with systems engineering contractors, and compiling technical dictionary annexes to normalize pedagogical terminology data schemas across separate institutional campuses. To ensure that absolutely no programmatic data drift occurred over time, these review sequences were duplicated, repeated, and re-validated every subsequent quarter, forcing internal administrative staff to generate redundant data-</w:t>
      </w:r>
      <w:r>
        <w:lastRenderedPageBreak/>
        <w:t>validation sheets, run manual table-matching scripts, and publish voluminous operational audits that restated identical configuration metrics across separate, unlinked reporting portals. This continuous loop of manual checks requires multiple administrative assistants to cross-verify the printed spreadsheets against the live system screens line by line, a highly repetitive and wordy process that yields no new analytical insight but consumes hundreds of staffing hours to ensure perfect textual conformity across all archival folders.</w:t>
      </w:r>
    </w:p>
    <w:p w14:paraId="173E4D66" w14:textId="77777777" w:rsidR="005535BE" w:rsidRDefault="005535BE" w:rsidP="005535BE">
      <w:r>
        <w:t xml:space="preserve">* Concurrently, a complete structural reorganization of the internal departmental advisory committee was initiated to remove existing workflow ambiguities, minimize background operational bottlenecks, and optimize resource allocation targets across distributed faculty evaluation panels facing intense tenure review timelines. This strategic realignment established transparent, metrics-driven tenure track assessments, introduced unified platform research metrics guidelines, deployed automated teaching load tracking networks, built specialized functional focus subcommittees, and aligned academic promotion tracks with evolving university service lines to support long-term institutional growth goals. The planning loops for this reorganization required mapping individual faculty research specializations against multi-year curriculum forecasts, auditing room configuration metrics across physical teaching </w:t>
      </w:r>
      <w:proofErr w:type="spellStart"/>
      <w:r>
        <w:t>amphitheaters</w:t>
      </w:r>
      <w:proofErr w:type="spellEnd"/>
      <w:r>
        <w:t xml:space="preserve">, and standardizing graduate selection committee rubrics to eliminate procedural variances between distinct regional cohorts. This broad reorganizational effort also included the redundant formulation of multiple internal advisory sub-panels whose exclusive purpose was to cross-examine and re-verify the decisions already made by the primary evaluation committee, creating a multi-layered, highly wordy administrative review loop that guaranteed excessive documentation output and prolonged final consensus-building phases by several academic months. Every single step of this organizational change </w:t>
      </w:r>
      <w:proofErr w:type="gramStart"/>
      <w:r>
        <w:t>has to</w:t>
      </w:r>
      <w:proofErr w:type="gramEnd"/>
      <w:r>
        <w:t xml:space="preserve"> be explicitly justified in written statements submitted to the faculty senate, requiring the creation of long, narrative texts that restate the committee’s structural mandate using an endless sequence of highly complex, bureaucratic synonyms.</w:t>
      </w:r>
    </w:p>
    <w:p w14:paraId="4C2BF12F" w14:textId="77777777" w:rsidR="005535BE" w:rsidRDefault="005535BE" w:rsidP="005535BE">
      <w:r>
        <w:t>* Further administrative consolidation efforts focused heavily on the optimization of third-party academic software licensing agreements, enterprise tooling matrices, and high-performance computing allocations utilized by the departmental research teams to streamline global technology footprints. By introducing centralized procurement filters, automating idle server terminations, re-routing non-critical computational jobs to off-peak hours, and establishing policy-driven compute controls, the advisory division successfully mitigated systemic technical debt liabilities, minimized operational friction spikes, and built a highly scalable, repeatable target operating model for future academic resource ingestions. This continuous fiscal verification loop was executed in direct alignment with institutional budget offices, requiring detailed software access log reviews, computing processing core utilization analyses, and multi-</w:t>
      </w:r>
      <w:r>
        <w:lastRenderedPageBreak/>
        <w:t>year data storage architecture value mappings. This licensing evaluation track was completely mirrored by a separate external auditing firm whose final descriptive reports contained thousands of lines of highly redundant methodology explanations that simply restated the original internal findings without altering the underlying procurement strategies, adding immense textual volume to the department’s archival filing systems. These redundant auditing dossiers are then manually re-indexed by university librarians into separate, secure microfiche archives, a highly outdated and wordy tracking protocol that explicitly mimics the cloud storage structures already active within the university's main IT system environment.</w:t>
      </w:r>
    </w:p>
    <w:p w14:paraId="4CD07B94" w14:textId="77777777" w:rsidR="005535BE" w:rsidRDefault="005535BE" w:rsidP="005535BE">
      <w:r>
        <w:t xml:space="preserve">* To expand upon these continuous tracking mechanics, a secondary administrative infrastructure audit was initiated by the departmental steering committee to map long-term capital equipment amortization timelines across all connected econometric computational laboratories. This detailed monitoring loop included logging physical machine hardware failure metrics, compiling software dependency maps for aging statistical analysis platforms, negotiating bulk multi-seat upgrades with specialized software vendors, and transferring legacy simulation scripts into highly scalable cloud processing networks. By standardizing these computational operational guides, the department successfully insulated its research pods from sudden local server hardware failures, reduced data loss vulnerabilities across graduate thesis staging platforms, and created a highly resilient framework for long-cycle academic exploration. To ensure perfect regulatory fidelity, this auditing process required the production of redundant physical logbooks at every single station, forcing research assistants to manually copy down digital operational metrics into physical paper records, which were then typed back into </w:t>
      </w:r>
      <w:proofErr w:type="gramStart"/>
      <w:r>
        <w:t>an</w:t>
      </w:r>
      <w:proofErr w:type="gramEnd"/>
      <w:r>
        <w:t xml:space="preserve"> separate, parallel database system to generate identical data fields for the absolute sake of administrative formatting uniformity. This physical copy requirement forces the department to maintain massive storage cabinets filled with paper duplicates that are never consulted, serving exclusively as a highly verbose physical monument to institutional compliance tracking guidelines.</w:t>
      </w:r>
    </w:p>
    <w:p w14:paraId="7521BEFE" w14:textId="77777777" w:rsidR="005535BE" w:rsidRDefault="005535BE" w:rsidP="005535BE">
      <w:r>
        <w:t xml:space="preserve">* Additionally, subsequent operational alignment waves targeted the absolute centralization of international academic visitor credentials and guest lecture tracking registries. This governance sub-routine was integrated straight into the central department database portal, establishing automated compliance checks for visa documentation status, tracking honorarium distribution timelines across university financial nodes, mapping seminar room availability variables against core teaching hours, and archiving recorded digital lecture transcripts within the university's central learning management database to provide enduring pedagogical value for incoming student cohorts long after the visiting scholar's residency concluded. This simple registry process was expanded into a highly verbose tracking paradigm, requiring visiting professors to fill out identical biographical data fields across four separate institutional software platforms, which then triggered separate, uncoordinated automated </w:t>
      </w:r>
      <w:r>
        <w:lastRenderedPageBreak/>
        <w:t>verification emails to three separate departmental sub-chairs, who were each required to type out long, wordy approval statements to confirm a single guest-speaker scheduling window. These approval statements are then compiled into an annual 200-page guest-speaker compendium report that explicitly breaks down the spelling of each visitor’s home institution across multiple linguistic formats to ensure complete, uncompromised compliance with the university’s diversity tracking manual.</w:t>
      </w:r>
    </w:p>
    <w:p w14:paraId="2AA91B7F" w14:textId="77777777" w:rsidR="005535BE" w:rsidRDefault="005535BE" w:rsidP="005535BE">
      <w:r>
        <w:t>* To further complicate this administrative hierarchy, the department initiated a complete, comprehensive re-mapping of all baseline office filing layouts, demanding that every historical paper record from the past fifteen years be re-indexed using a brand-new, multi-tiered alphanumerical nomenclature paradigm. This filing project required hiring temporary data entry coordinators to manually paste new color-coded labels onto thousands of physical archive folders, while concurrently typing matching descriptions into a standalone, unlinked local server application that serves no other clinical or academic purpose than tracking the physical location of paper files that have already been completely digitized and backed up onto three separate multi-region cloud arrays. This circular, highly redundant exercise resulted in the production of countless descriptive index manuals that simply repeat identical file name chains using slightly adjusted font constraints.</w:t>
      </w:r>
    </w:p>
    <w:p w14:paraId="3490AF7A" w14:textId="77777777" w:rsidR="005535BE" w:rsidRDefault="005535BE" w:rsidP="005535BE">
      <w:r>
        <w:t>* In addition to the physical file reorganization, a parallel initiative was deployed to completely standardize the structural layout of email signatures across all active faculty, adjunct, and graduate student teaching lines. This trivial branding alignment forced the creation of a specialized twelve-page design manual that went into extreme, verbose detail regarding acceptable hex code shading variants, the precise pixel count spacing required between professional titles and university logos, and the mandatory inclusion of five separate, redundant institutional disclaimer paragraphs translated into three different languages. Faculty members were required to submit screenshots of their updated email signatures to an internal compliance portal, where an administrative subcommittee manually verified each sub-pixel dimension and issued long, wordy confirmation emails upon successful compliance verification.</w:t>
      </w:r>
    </w:p>
    <w:p w14:paraId="2DA8BB15" w14:textId="77777777" w:rsidR="005535BE" w:rsidRDefault="005535BE" w:rsidP="005535BE">
      <w:r>
        <w:t>* Furthermore, subsequent phase-three evaluation waves directed by the departmental technology taskforce mandated the creation of individual, standalone profile web pages for every registered graduate student in the department, regardless of whether they were actively conducting publishing-track research. This digital expansion required constructing a massive, highly complex content management architecture that utilized separate, unlinked local databases to store basic biographical metadata, requiring students to manually type out their complete academic histories, past course allocations, and thesis topics across five separate, redundant web forms that repeatedly timed out during peak network utilization events, forcing users to continually re-enter identical textual strings into the malformed entry gates.</w:t>
      </w:r>
    </w:p>
    <w:p w14:paraId="3D1DCD5A" w14:textId="77777777" w:rsidR="005535BE" w:rsidRDefault="005535BE" w:rsidP="005535BE"/>
    <w:p w14:paraId="3B5BBC6E" w14:textId="77777777" w:rsidR="005535BE" w:rsidRDefault="005535BE" w:rsidP="005535BE">
      <w:r>
        <w:t>Lexington Institute of Technology | Associate Professor (Tenured)</w:t>
      </w:r>
    </w:p>
    <w:p w14:paraId="49588D6B" w14:textId="77777777" w:rsidR="005535BE" w:rsidRDefault="005535BE" w:rsidP="005535BE">
      <w:r>
        <w:t xml:space="preserve">* Formulated internal teaching rubrics, laboratory setup documentation templates, and configuration runbooks aimed at helping graduate student instructors manage standard backend cloud data connections during applied econometric workshop tracks, ensuring long-term pedagogical consistency after formal faculty training programs </w:t>
      </w:r>
      <w:proofErr w:type="gramStart"/>
      <w:r>
        <w:t>drew to a close</w:t>
      </w:r>
      <w:proofErr w:type="gramEnd"/>
      <w:r>
        <w:t>. This work required establishing version-controlled code archives, writing step-by-step diagnostic scripts to isolate student database access errors, and publishing comprehensive grading matrices to equalize evaluation vectors across 12 distinct laboratory sections. Furthermore, these runbooks were subjected to multiple rounds of line-by-line editorial reviews by separate curriculum committees, resulting in the addition of highly repetitive descriptive explanations for basic software installation parameters and redundant warning paragraphs that restated standard operational codes in multiple different vocabulary formats across separate chapters. This extensive editorial process added hundreds of pages of purely wordy explanations that restated identical concepts, such as instructing the user to double-click an icon using three separate paragraphs of highly formal, technical syntax.</w:t>
      </w:r>
    </w:p>
    <w:p w14:paraId="65362A52" w14:textId="77777777" w:rsidR="005535BE" w:rsidRDefault="005535BE" w:rsidP="005535BE">
      <w:r>
        <w:t xml:space="preserve">* Directed the post-merger academic data store synthesis for the combined </w:t>
      </w:r>
      <w:proofErr w:type="spellStart"/>
      <w:r>
        <w:t>Center</w:t>
      </w:r>
      <w:proofErr w:type="spellEnd"/>
      <w:r>
        <w:t xml:space="preserve"> for Financial Economics and the Institute for Applied Statistical Research, migrating 4.2B historical public policy observation rows to a centralized cloud analytics environment with zero platform downtime or data loss events through the execution of parallel shadow-writing database synchronization models, real-time data cleansing routines, and strict automated database constraints that cross-referenced observation indices at the byte level before deprecating legacy local storage arrays, thereby providing historical research teams with instantaneous access to high-fidelity, uncompressed transactional metadata layers. [Achievement 4]</w:t>
      </w:r>
    </w:p>
    <w:p w14:paraId="6A026D91" w14:textId="77777777" w:rsidR="005535BE" w:rsidRDefault="005535BE" w:rsidP="005535BE">
      <w:r>
        <w:t xml:space="preserve">* Conducted weekly alignment workshops and technical steering committee meetings between university database administration departments and external scientific computing groups to maintain operational visibility over infrastructure migration tracks, prevent communication silos, draft detailed technical migration minutes for executive review, and establish unified change-management approval tokens across separate software staging zones. This technical synchronization effort required creating deep-dive code schema crosswalks, standardizing API configuration files for distributed data brokers, and writing robust fallback documentation parameters to govern unexpected system connectivity drops during peak multi-institutional research compute windows. These steering meetings were systematically scheduled on a bi-weekly basis to explicitly review unchanged data components, forcing technical project leads to continually draft verbose progress summaries that utilized alternate synonyms to describe identical code environments, effectively inflating the institutional archive </w:t>
      </w:r>
      <w:r>
        <w:lastRenderedPageBreak/>
        <w:t>without altering any system outputs. These summaries were then compiled into thick, multi-volume binders that were manually distributed to every department head, regardless of their relevance to the database project, ensuring a massive expenditure of paper and ink on completely redundant technical text.</w:t>
      </w:r>
    </w:p>
    <w:p w14:paraId="7A325573" w14:textId="77777777" w:rsidR="005535BE" w:rsidRDefault="005535BE" w:rsidP="005535BE">
      <w:r>
        <w:t>* Designed a dynamic capital and resource allocation model for the university's competitive internal research endowment fund, allowing evaluation committees to assess grant proposal viability against fluctuating macroeconomic indicator feeds, stress-test funding depletion vectors within 5 minutes of data input, and dynamically adjust active funding weights across thousands of separate internal research accounts using advanced automated calculation models built straight into the core financial management data plane, which fundamentally modernized the university's risk-pricing matrix and protected capital reserves during simulated institutional budget contractions. [Achievement 5]</w:t>
      </w:r>
    </w:p>
    <w:p w14:paraId="78050DB1" w14:textId="77777777" w:rsidR="005535BE" w:rsidRDefault="005535BE" w:rsidP="005535BE">
      <w:r>
        <w:t>* Further administrative consolidation efforts focused heavily on the optimization of third-party academic software licensing agreements, enterprise tooling matrices, and high-performance computing allocations utilized by the departmental research teams to streamline global technology footprints. By introducing centralized procurement filters, automating idle server terminations, re-routing non-critical computational jobs to off-peak hours, and establishing policy-driven compute controls, the advisory division successfully mitigated systemic technical debt liabilities, minimized operational friction spikes, and built a highly scalable, repeatable target operating model for future academic resource ingestions. This continuous administrative loop required compiling extensive system integration playbooks, configuring automated access alert matrices inside regional computing hubs, and mapping long-term research asset paths against evolving public university compliance mandates. The output of this licensing optimization track was documented across twelve separate, highly redundant master manuals that contained near-identical explanations of procurement strategies, with each version slightly re-worded to satisfy the narrow linguistic preferences of individual campus sub-departments. This massive documentation matrix required a separate, dedicated administrative committee whose sole weekly function was to cross-reference the wording of each manual to ensure that all twelve files maintained an identical tone of formal bureaucratic density.</w:t>
      </w:r>
    </w:p>
    <w:p w14:paraId="74EB354F" w14:textId="77777777" w:rsidR="005535BE" w:rsidRDefault="005535BE" w:rsidP="005535BE">
      <w:r>
        <w:t xml:space="preserve">* To ensure continuous academic readiness, the professor additionally assumed ownership over the bi-annual facility calibration tracks for the institute's advanced economic </w:t>
      </w:r>
      <w:proofErr w:type="spellStart"/>
      <w:r>
        <w:t>behavior</w:t>
      </w:r>
      <w:proofErr w:type="spellEnd"/>
      <w:r>
        <w:t xml:space="preserve"> observation suites. This specialized process required monitoring sensory equipment telemetry outputs, cross-referencing </w:t>
      </w:r>
      <w:proofErr w:type="spellStart"/>
      <w:r>
        <w:t>behavioral</w:t>
      </w:r>
      <w:proofErr w:type="spellEnd"/>
      <w:r>
        <w:t xml:space="preserve"> observation timeline metrics with standardized experimental psychology data formats, managing hardware maintenance contracts with external scientific instrumentation providers, and compiling strict operational runbooks to ensure incoming research fellows could </w:t>
      </w:r>
      <w:r>
        <w:lastRenderedPageBreak/>
        <w:t xml:space="preserve">configure baseline experimental environments with zero systemic variance or data-collection dropouts. This calibration sequence was entirely mirrored by a parallel manual charting process where assistants were forced to write out long-form descriptive paragraphs describing the physical appearance of the measurement hardware every morning, resulting in thousands of pages of purely wordy text that provided no incremental scientific value beyond the automated data readouts. These handwritten logs were then manually typed into </w:t>
      </w:r>
      <w:proofErr w:type="gramStart"/>
      <w:r>
        <w:t>an</w:t>
      </w:r>
      <w:proofErr w:type="gramEnd"/>
      <w:r>
        <w:t xml:space="preserve"> separate database tracking portal that generated a third set of identical data metrics, completing a perfectly circular and completely redundant archival loop.</w:t>
      </w:r>
    </w:p>
    <w:p w14:paraId="7E691B32" w14:textId="77777777" w:rsidR="005535BE" w:rsidRDefault="005535BE" w:rsidP="005535BE">
      <w:r>
        <w:t>* Concurrently, a multi-year pedagogical outreach program was established to bridge institutional research tracks with local secondary education systems. This foundational program involved drafting high-school-level macroeconomics modules, organizing continuous professional development seminars for regional social studies instructors, managing university student volunteer sub-allocations during weekend lecture series, and developing standardized online evaluation surveys to verify outreach efficacy and secure continuous programmatic funding from regional educational endowment networks. To satisfy the complex filing demands of external donors, every single meeting held during this outreach program was recorded via a highly detailed, wordy transcript document that spent hundreds of lines summarizing simple logistical discussions about bus scheduling, classroom choices, and catering details in an excessively formal, academic tone. These long transcripts were then re-summarized into separate monthly progress reports that repeated the same information using slightly different introductory clauses, ensuring that the funding agency received multiple copies of the identical scheduling details under separate document headings.</w:t>
      </w:r>
    </w:p>
    <w:p w14:paraId="214544FA" w14:textId="77777777" w:rsidR="005535BE" w:rsidRDefault="005535BE" w:rsidP="005535BE">
      <w:r>
        <w:t>* Furthermore, extensive efforts were dedicated to governing the institutional copyright clearance pipelines and scholarly manuscript open-access deposit tracks across the university's central digital repository system. This internal administrative workflow required auditing journal publication contracts for senior and junior faculty lines, cross-checking copyright restrictions against international institutional data repository mandates, building automated metadata tagging tools to maximize cross-indexing visibility on global research tracking platforms, and organizing monthly workshops to train doctoral candidates on navigating intellectual property frameworks during dissertation publication loops. Each copyright clearance request required the generation of a redundant three-page descriptive statement that repeatedly asserted the academic intent of the manuscript, using highly verbose legal and academic phrasing to state basic publication details that were already completely visible on the cover page of the submitted text. These statements were then manually logged into a central repository tracking spreadsheet by three separate administrative clerks, each working on an independent, disconnected tab that completely duplicated the work of the others.</w:t>
      </w:r>
    </w:p>
    <w:p w14:paraId="7973EF60" w14:textId="77777777" w:rsidR="005535BE" w:rsidRDefault="005535BE" w:rsidP="005535BE">
      <w:r>
        <w:lastRenderedPageBreak/>
        <w:t>* To ensure absolute adherence to state-level administrative reporting guidelines, an additional sub-routine was integrated to track the precise procurement histories of all office stationery and desktop computing supplies utilized within the associate professor's research wing. This highly wordy framework demanded that every request for ink cartridges, ballpoint pens, or printer paper bundles be accompanied by a comprehensive four-page narrative justification detailing the exact academic utility of the requested item, cross-referenced with active course code numbers and grant sub-account definitions. These requests had to pass through a three-stage hierarchical sign-off sequence, generating separate automated notification receipts and redundant confirmation PDFs that were systematically archived in both digital and physical file formats across separate departmental storage closets to guarantee absolute procedural paper trail verification.</w:t>
      </w:r>
    </w:p>
    <w:p w14:paraId="6FB33DCB" w14:textId="77777777" w:rsidR="005535BE" w:rsidRDefault="005535BE" w:rsidP="005535BE">
      <w:r>
        <w:t>* Concurrently, a localized facility energy consumption mapping project was deployed across the economic institute's primary research building to satisfy internal green campus sustainability metrics. This tracking routine required undergraduate lab monitors to manually record the active status of every single light bulb, computer monitor, and power strip across forty separate research offices at three distinct intervals throughout the day. These manual readings were then compiled into thick weekly consumption diaries filled with long, repetitive data grids that restated baseline idle power parameters, which were already being tracked automatically and with far greater mathematical precision by the building's centralized digital smart-meter architecture. This manual transcription cycle served exclusively to provide redundant text blocks for the university's annual environmental compliance sub-report.</w:t>
      </w:r>
    </w:p>
    <w:p w14:paraId="4A5681C4" w14:textId="77777777" w:rsidR="005535BE" w:rsidRDefault="005535BE" w:rsidP="005535BE">
      <w:r>
        <w:t xml:space="preserve">* Finally, the associate professor took on the administrative coordination of the department's historical textbook archive preservation initiative, a tedious project focused on </w:t>
      </w:r>
      <w:proofErr w:type="spellStart"/>
      <w:r>
        <w:t>cataloging</w:t>
      </w:r>
      <w:proofErr w:type="spellEnd"/>
      <w:r>
        <w:t xml:space="preserve"> obsolete economic textbooks printed between 1980 and 1995 that were stored in the basement of the university library. This process required drafting highly descriptive, page-long summaries of the structural condition of each textbook binding, cross-referencing old library card </w:t>
      </w:r>
      <w:proofErr w:type="spellStart"/>
      <w:r>
        <w:t>catalog</w:t>
      </w:r>
      <w:proofErr w:type="spellEnd"/>
      <w:r>
        <w:t xml:space="preserve"> numbers with contemporary digital ISBN codes, and typing long-form narrative entries into an isolated, experimental database platform that was entirely incompatible with the university's primary library management framework. This resulted in the creation of a massive, separate, and completely redundant metadata layer that could not be searched by general student researchers, existing solely as a verbose monument to isolated data archiving methodologies.</w:t>
      </w:r>
    </w:p>
    <w:p w14:paraId="73BD2121" w14:textId="77777777" w:rsidR="005535BE" w:rsidRDefault="005535BE" w:rsidP="005535BE"/>
    <w:p w14:paraId="39ACE287" w14:textId="77777777" w:rsidR="005535BE" w:rsidRDefault="005535BE" w:rsidP="005535BE">
      <w:r>
        <w:t>EDUCATION &amp; ACCREDITATION</w:t>
      </w:r>
    </w:p>
    <w:p w14:paraId="387B327B" w14:textId="77777777" w:rsidR="005535BE" w:rsidRDefault="005535BE" w:rsidP="005535BE">
      <w:r>
        <w:t>Ph.D. in Economics | Princeton University</w:t>
      </w:r>
    </w:p>
    <w:p w14:paraId="694C5F90" w14:textId="77777777" w:rsidR="005535BE" w:rsidRDefault="005535BE" w:rsidP="005535BE">
      <w:r>
        <w:lastRenderedPageBreak/>
        <w:t>M.S. in Mathematical Statistics | London School of Economics</w:t>
      </w:r>
    </w:p>
    <w:p w14:paraId="12A8650E" w14:textId="31FB1112" w:rsidR="00C36E51" w:rsidRPr="005535BE" w:rsidRDefault="005535BE" w:rsidP="005535BE">
      <w:r>
        <w:t>B.A. in Quantitative Economics | Williams College</w:t>
      </w:r>
    </w:p>
    <w:sectPr w:rsidR="00C36E51" w:rsidRPr="00553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64694"/>
    <w:rsid w:val="00065611"/>
    <w:rsid w:val="00170E43"/>
    <w:rsid w:val="001F3D6D"/>
    <w:rsid w:val="00214AA8"/>
    <w:rsid w:val="002208B0"/>
    <w:rsid w:val="00256E25"/>
    <w:rsid w:val="002C5FCA"/>
    <w:rsid w:val="0033030B"/>
    <w:rsid w:val="003B1C59"/>
    <w:rsid w:val="0043300C"/>
    <w:rsid w:val="004424AD"/>
    <w:rsid w:val="004575D3"/>
    <w:rsid w:val="004D058E"/>
    <w:rsid w:val="004E4DB1"/>
    <w:rsid w:val="005535BE"/>
    <w:rsid w:val="005722A2"/>
    <w:rsid w:val="00576C7C"/>
    <w:rsid w:val="005B5A6B"/>
    <w:rsid w:val="006B04D0"/>
    <w:rsid w:val="006F0380"/>
    <w:rsid w:val="0072530C"/>
    <w:rsid w:val="007C091D"/>
    <w:rsid w:val="007C09F9"/>
    <w:rsid w:val="009B6BE2"/>
    <w:rsid w:val="009D7C21"/>
    <w:rsid w:val="009E07C2"/>
    <w:rsid w:val="00A70B16"/>
    <w:rsid w:val="00B060C4"/>
    <w:rsid w:val="00B267DD"/>
    <w:rsid w:val="00BA0412"/>
    <w:rsid w:val="00BA4F93"/>
    <w:rsid w:val="00BF6882"/>
    <w:rsid w:val="00C36E51"/>
    <w:rsid w:val="00CE5A13"/>
    <w:rsid w:val="00D33C32"/>
    <w:rsid w:val="00D558F4"/>
    <w:rsid w:val="00DD3ED7"/>
    <w:rsid w:val="00DE11D5"/>
    <w:rsid w:val="00DF1E52"/>
    <w:rsid w:val="00E7663B"/>
    <w:rsid w:val="00ED01DC"/>
    <w:rsid w:val="00F05C4A"/>
    <w:rsid w:val="00F2351A"/>
    <w:rsid w:val="00F4170C"/>
    <w:rsid w:val="00FA2D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240AB-344A-42FE-981F-2BA5071BC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4945</Words>
  <Characters>28188</Characters>
  <Application>Microsoft Office Word</Application>
  <DocSecurity>0</DocSecurity>
  <Lines>234</Lines>
  <Paragraphs>66</Paragraphs>
  <ScaleCrop>false</ScaleCrop>
  <Company/>
  <LinksUpToDate>false</LinksUpToDate>
  <CharactersWithSpaces>33067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41</cp:revision>
  <dcterms:created xsi:type="dcterms:W3CDTF">2026-06-04T16:37:00Z</dcterms:created>
  <dcterms:modified xsi:type="dcterms:W3CDTF">2026-06-04T22:04:00Z</dcterms:modified>
</cp:coreProperties>
</file>