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D0502" w14:textId="77777777" w:rsidR="008670BD" w:rsidRDefault="008670BD" w:rsidP="008670BD">
      <w:r>
        <w:t>CV-ID: CV26</w:t>
      </w:r>
    </w:p>
    <w:p w14:paraId="7CE65C81" w14:textId="5018E9F8" w:rsidR="00974483" w:rsidRDefault="00974483" w:rsidP="008670BD">
      <w:r>
        <w:t xml:space="preserve">CV OF </w:t>
      </w:r>
      <w:r w:rsidRPr="00974483">
        <w:t>Charlotte Walsh</w:t>
      </w:r>
    </w:p>
    <w:p w14:paraId="72C5FBE9" w14:textId="77777777" w:rsidR="008670BD" w:rsidRDefault="008670BD" w:rsidP="008670BD">
      <w:r>
        <w:t>TARGET ROLE: Full Professor &amp; Research Director (Biomedical Informatics / Clinical Data Infrastructure)</w:t>
      </w:r>
    </w:p>
    <w:p w14:paraId="305E16DA" w14:textId="77777777" w:rsidR="008670BD" w:rsidRDefault="008670BD" w:rsidP="008670BD">
      <w:r>
        <w:t>CONTACT: cv26@evaluation-dataset.local</w:t>
      </w:r>
    </w:p>
    <w:p w14:paraId="249F70C1" w14:textId="77777777" w:rsidR="008670BD" w:rsidRDefault="008670BD" w:rsidP="008670BD"/>
    <w:p w14:paraId="13B56180" w14:textId="77777777" w:rsidR="008670BD" w:rsidRDefault="008670BD" w:rsidP="008670BD">
      <w:r>
        <w:t>PROFESSIONAL SUMMARY</w:t>
      </w:r>
    </w:p>
    <w:p w14:paraId="306A269F" w14:textId="77777777" w:rsidR="008670BD" w:rsidRDefault="008670BD" w:rsidP="008670BD">
      <w:r>
        <w:t xml:space="preserve">Visionary biomedical scholar, medical informaticist, and tenured Full Professor with over 13 years of executive-level academic medical </w:t>
      </w:r>
      <w:proofErr w:type="spellStart"/>
      <w:r>
        <w:t>center</w:t>
      </w:r>
      <w:proofErr w:type="spellEnd"/>
      <w:r>
        <w:t xml:space="preserve"> success directing clinical research institutes, pioneering high-throughput healthcare data frameworks, and commanding complex medical curriculum standardizations for tier-1 medical universities. Internationally recognized pioneer in healthcare data privacy, clinical natural language processing (NLP), and distributed electronic health record (EHR) analytics networks, with an expansive publishing record across leading medical informatics literature. Proven record of managing multi-million-dollar clinical trial data operations, securing prestigious national health grants, advising medical-doctoral (MD/PhD) candidates through complex </w:t>
      </w:r>
      <w:proofErr w:type="spellStart"/>
      <w:r>
        <w:t>defense</w:t>
      </w:r>
      <w:proofErr w:type="spellEnd"/>
      <w:r>
        <w:t xml:space="preserve"> milestones, and restructuring university medical informatics infrastructure to support high-concurrency research processing matrices.</w:t>
      </w:r>
    </w:p>
    <w:p w14:paraId="7358614C" w14:textId="77777777" w:rsidR="008670BD" w:rsidRDefault="008670BD" w:rsidP="008670BD"/>
    <w:p w14:paraId="2099A203" w14:textId="77777777" w:rsidR="008670BD" w:rsidRDefault="008670BD" w:rsidP="008670BD">
      <w:r>
        <w:t>CORE COMPETENCIES &amp; ACADEMIC LEADERSHIP</w:t>
      </w:r>
    </w:p>
    <w:p w14:paraId="40E91B3E" w14:textId="77777777" w:rsidR="008670BD" w:rsidRDefault="008670BD" w:rsidP="008670BD">
      <w:r>
        <w:t>Informatics Research: Clinical Event-Sourcing Architectures, Distributed Machine Learning in Healthcare, Data Privacy</w:t>
      </w:r>
    </w:p>
    <w:p w14:paraId="49C6DE4F" w14:textId="77777777" w:rsidR="008670BD" w:rsidRDefault="008670BD" w:rsidP="008670BD">
      <w:r>
        <w:t xml:space="preserve">Institutional Governance: Academic Medical </w:t>
      </w:r>
      <w:proofErr w:type="spellStart"/>
      <w:r>
        <w:t>Center</w:t>
      </w:r>
      <w:proofErr w:type="spellEnd"/>
      <w:r>
        <w:t xml:space="preserve"> PMO, Cross-Institutional Data Sharing, Tenure Committee Leadership</w:t>
      </w:r>
    </w:p>
    <w:p w14:paraId="6D4B4CCC" w14:textId="77777777" w:rsidR="008670BD" w:rsidRDefault="008670BD" w:rsidP="008670BD">
      <w:r>
        <w:t>Curriculum Innovation: Biomedical Graduate Program Overhauls, Clinical Rotation Data Sync, Interdisciplinary Medical Training</w:t>
      </w:r>
    </w:p>
    <w:p w14:paraId="7CCE0E9D" w14:textId="77777777" w:rsidR="008670BD" w:rsidRDefault="008670BD" w:rsidP="008670BD">
      <w:r>
        <w:t>Grant Administration: NIH R01/U01 Procurement Protocols, IRB Compliance Engineering, Research Facility Operations</w:t>
      </w:r>
    </w:p>
    <w:p w14:paraId="08139B71" w14:textId="77777777" w:rsidR="008670BD" w:rsidRDefault="008670BD" w:rsidP="008670BD"/>
    <w:p w14:paraId="733F0202" w14:textId="77777777" w:rsidR="008670BD" w:rsidRDefault="008670BD" w:rsidP="008670BD">
      <w:r>
        <w:t>CHRONOLOGICAL ACADEMIC HISTORY &amp; REVENUE RECORD</w:t>
      </w:r>
    </w:p>
    <w:p w14:paraId="533CFD43" w14:textId="77777777" w:rsidR="008670BD" w:rsidRDefault="008670BD" w:rsidP="008670BD">
      <w:r>
        <w:t>St. Jude Biomedical University | Professor &amp; Director of Health Data Systems</w:t>
      </w:r>
    </w:p>
    <w:p w14:paraId="65CCDAF7" w14:textId="77777777" w:rsidR="008670BD" w:rsidRDefault="008670BD" w:rsidP="008670BD">
      <w:r>
        <w:lastRenderedPageBreak/>
        <w:t xml:space="preserve">* Commands all institutional computational biology operations, healthcare software integration roadmaps, and biomedical analytics research practices for a leading academic medical </w:t>
      </w:r>
      <w:proofErr w:type="spellStart"/>
      <w:r>
        <w:t>center</w:t>
      </w:r>
      <w:proofErr w:type="spellEnd"/>
      <w:r>
        <w:t>, coordinating with university healthcare executive teams to deploy secure clinical research data toolsets. This expansive, multi-layered administrative responsibility requires the continuous, ongoing maintenance of massive data compliance manuals, the scheduling of weekly inter-departmental infrastructure alignment loops, and direct collaboration with the Office of Health System Budgeting to manage baseline fiscal allocations, oversee line-item software expenditures, manage discretionary data-science research funds, and ensure absolute compliance with evolving regional health privacy mandates. Furthermore, this executive role demands the constant, repetitive oversight of day-to-day laboratory workflows, the manual formatting of bi-weekly academic progress memos, the validation of computing cluster utilization grids, and the balancing of multi-semester teaching allocations across separate biomedical tracking divisions to prevent operational friction spikes across the school.</w:t>
      </w:r>
    </w:p>
    <w:p w14:paraId="7EF91795" w14:textId="77777777" w:rsidR="008670BD" w:rsidRDefault="008670BD" w:rsidP="008670BD">
      <w:r>
        <w:t xml:space="preserve">* Masterminded a global health informatics curriculum and laboratory modernization program for an academic medical </w:t>
      </w:r>
      <w:proofErr w:type="spellStart"/>
      <w:r>
        <w:t>center</w:t>
      </w:r>
      <w:proofErr w:type="spellEnd"/>
      <w:r>
        <w:t xml:space="preserve"> supporting 5,000+ medical and graduate students, replacing an aging legacy database training manual with a cloud-native data architecture that expanded data processing capability by 180% while establishing multi-region asynchronous state replication models across critical clinical data instances to eliminate historical nightly data-processing bottlenecks, guarantee continuous database state visibility, and introduce high-performance event-sourcing architectures based on Apache Kafka messaging fabrics that systematically insulate the institution from runtime network isolation drops, while additionally enforcing strict HIPAA encryption standards and cross-border clinical data sovereignty compliance matrices across all research environments. [Achievement 1]</w:t>
      </w:r>
    </w:p>
    <w:p w14:paraId="350AB7E0" w14:textId="77777777" w:rsidR="008670BD" w:rsidRDefault="008670BD" w:rsidP="008670BD">
      <w:r>
        <w:t xml:space="preserve">* Managed the routine scheduling, clinical research rotation allocations, and internal task tracking updates for junior post-doctoral fellows assigned to the health informatics research institute, ensuring baseline clinical study milestones were steadily maintained, peer-reviewed manuscript submissions were delivered in full alignment with federal funding agency timetables, and organizing continuous professional development bootcamps focused on emerging global clinical data reporting standards. This extensive onboarding paradigm includes designing multi-layered clinical rotation evaluation frameworks, </w:t>
      </w:r>
      <w:proofErr w:type="spellStart"/>
      <w:r>
        <w:t>cataloging</w:t>
      </w:r>
      <w:proofErr w:type="spellEnd"/>
      <w:r>
        <w:t xml:space="preserve"> departmental data storage permissions, tracking academic colloquium attendance registries, and building internal citation indexing software tools to verify research resonance metrics across global indexing frameworks long before formal tenure review packets are assembled for executive dean inspection loops. To expand upon this, the tracking system requires manual verification of cross-institutional co-authorship agreements, deep-dive indexing of public clinical research repositories, continuous monitoring of international conference panel allocations, and </w:t>
      </w:r>
      <w:r>
        <w:lastRenderedPageBreak/>
        <w:t xml:space="preserve">the creation of comprehensive, multi-page feedback reports that </w:t>
      </w:r>
      <w:proofErr w:type="spellStart"/>
      <w:r>
        <w:t>analyze</w:t>
      </w:r>
      <w:proofErr w:type="spellEnd"/>
      <w:r>
        <w:t xml:space="preserve"> every single baseline variable of a post-doctoral fellow's output to guarantee flawless synchronization with long-term laboratory expectations. This manual monitoring work is explicitly duplicated across three separate subcommittee layers, each of which reads the exact same publications, types out highly wordy, near-identical evaluations utilizing slightly different pieces of bureaucratic jargon, and schedules repetitive oral consultation meetings with the candidates to emphasize operational feedback that has already been documented multiple times in writing.</w:t>
      </w:r>
    </w:p>
    <w:p w14:paraId="773CD2E1" w14:textId="77777777" w:rsidR="008670BD" w:rsidRDefault="008670BD" w:rsidP="008670BD">
      <w:r>
        <w:t>* Coordinated the comprehensive operational and technical due diligence review for a multi-institutional clinical trials network expansion valued at $145M, auditing 3.5M electronic health records, mapping system dependencies, and eliminating $4.6M in post-close duplicative cloud infrastructure outlays by standardizing dynamic computing constraints across newly acquired clinical data networks, migrating legacy bare-metal server infrastructure into highly flexible, automated Kubernetes container environments, and auditing unoptimized code modules to slash compute resource consumption metrics during high-concurrency data analysis windows, thereby establishing a clean baseline for future institutional digital asset integrations. [Achievement 2]</w:t>
      </w:r>
    </w:p>
    <w:p w14:paraId="7372FF04" w14:textId="77777777" w:rsidR="008670BD" w:rsidRDefault="008670BD" w:rsidP="008670BD">
      <w:r>
        <w:t>* Maintained the master repository of technical process maps, clinical database layout diagrams, and institutional data ingest routes for the biomedical research group, updating internal knowledge stores to reflect system dependencies and data ingestion pipelines across affiliate hospital network databases, and compiling comprehensive technical dictionaries to standardize development terminology across cross-functional research teams. This institutional workflow requires conducting systematic clinical data schema audits, reviewing laboratory safety registration parameters, logging physical facility entry times across informatics labs, and drafting extensive performance post-mortems for every active cohort to guarantee complete procedural synchronization with evolving medical school guidelines. Additionally, this manual auditing process involves reviewing server access logs on a bi-weekly basis, compiling internal student complaint feedback metrics, cross-referencing research outcomes against historical departmental averages to spot analytical skew patterns, and hosting redundant, mandatory orientation seminars designed to retrain graduate data analysts on standard institutional documentation styles and backend data ingestion pathways. This process is further weighed down by the requirement to physically print out, hand-sign, scan, and digitally upload individual database access allocation sheets every single month, producing a massive paper trail that simply reiterates the digital security log files already saved on the central hospital network server.</w:t>
      </w:r>
    </w:p>
    <w:p w14:paraId="1DAE3145" w14:textId="77777777" w:rsidR="008670BD" w:rsidRDefault="008670BD" w:rsidP="008670BD">
      <w:r>
        <w:t xml:space="preserve">* Formulated and cross-validated an open-source clinical natural language processing (NLP) tokenization pipeline deployed across 14 independent regional healthcare </w:t>
      </w:r>
      <w:r>
        <w:lastRenderedPageBreak/>
        <w:t>systems, which automated the structural extraction of unstructured oncology diagnostic clinical notes, successfully processed 850,000 deep-phenotype patient profiles within its first year of release, and achieved a verified 99.4% F1-score accuracy rating against manual physician double-blind control annotations, effectively eliminating historical cross-site semantic discrepancies without requiring localized pipeline overrides or manual data re-coding structures. [Achievement 3]</w:t>
      </w:r>
    </w:p>
    <w:p w14:paraId="3EA4DE70" w14:textId="77777777" w:rsidR="008670BD" w:rsidRDefault="008670BD" w:rsidP="008670BD">
      <w:r>
        <w:t>* Commanded the end-to-end operational recovery and algorithmic optimization strategy for a stalled multi-site federated learning research initiative funded by a federal biomedical enterprise grant, restructuring broken cryptographic data nodes across 8 participating sovereign clinical campuses to securely process decentralized patient cohort registries, which compressed model synchronization iteration loops from 18 hours down to 12 minutes, boosted cross-validation performance parameters by 34%, and safely prevented $2.1M in projected project overrun allocations through the automated harmonization of disjointed local institutional review board (IRB) data-sharing tokens. [Achievement 4]</w:t>
      </w:r>
    </w:p>
    <w:p w14:paraId="55F63545" w14:textId="77777777" w:rsidR="008670BD" w:rsidRDefault="008670BD" w:rsidP="008670BD"/>
    <w:p w14:paraId="616675F3" w14:textId="77777777" w:rsidR="008670BD" w:rsidRDefault="008670BD" w:rsidP="008670BD">
      <w:r>
        <w:t>&gt; **INSTITUTIONAL CASE STUDY 2: Clinical Data Infrastructure &amp; Privacy Governance Restructuring**</w:t>
      </w:r>
    </w:p>
    <w:p w14:paraId="32C7DBF8" w14:textId="77777777" w:rsidR="008670BD" w:rsidRDefault="008670BD" w:rsidP="008670BD">
      <w:r>
        <w:t xml:space="preserve">&gt; * **Institutional </w:t>
      </w:r>
      <w:proofErr w:type="gramStart"/>
      <w:r>
        <w:t>Context:*</w:t>
      </w:r>
      <w:proofErr w:type="gramEnd"/>
      <w:r>
        <w:t>* The university's central clinical research data store was experiencing extreme processing delays, rising cloud operations overhead, and an inability to accurately execute high-dimensional patient data extraction matrices across regional healthcare environments during clinical trial surges.</w:t>
      </w:r>
    </w:p>
    <w:p w14:paraId="384E9A20" w14:textId="77777777" w:rsidR="008670BD" w:rsidRDefault="008670BD" w:rsidP="008670BD">
      <w:r>
        <w:t xml:space="preserve">* **Diagnostic &amp; </w:t>
      </w:r>
      <w:proofErr w:type="gramStart"/>
      <w:r>
        <w:t>Intervention:*</w:t>
      </w:r>
      <w:proofErr w:type="gramEnd"/>
      <w:r>
        <w:t>* Directed an intense operational overhaul of the medical school's clinical informatics warehouse and data access pipelines. Led a comprehensive assessment of telemetry velocities, API data exchange latencies, and cross-border database access agreements across separate affiliate medical institutions. Formulated a centralized data-pooling framework and standardized metadata taxonomy schemas to structure historical electronic health record inputs into a single global research repository, eliminating historical data-isolation blocks.</w:t>
      </w:r>
    </w:p>
    <w:p w14:paraId="3A7BA015" w14:textId="77777777" w:rsidR="008670BD" w:rsidRDefault="008670BD" w:rsidP="008670BD">
      <w:r>
        <w:t xml:space="preserve">* **Redundant Descriptive </w:t>
      </w:r>
      <w:proofErr w:type="gramStart"/>
      <w:r>
        <w:t>Analysis:*</w:t>
      </w:r>
      <w:proofErr w:type="gramEnd"/>
      <w:r>
        <w:t xml:space="preserve">* Following the formal finalization of these strategic research infrastructure adjustments, the overarching operational data integration pipelines proceeded through an intensive sequence of post-close reviews directed by the university healthcare board to </w:t>
      </w:r>
      <w:proofErr w:type="gramStart"/>
      <w:r>
        <w:t>completely eliminate</w:t>
      </w:r>
      <w:proofErr w:type="gramEnd"/>
      <w:r>
        <w:t xml:space="preserve"> legacy data processing inefficiencies. These structural governance protocols tracked backend data transmission paths, verified system telemetry parameters across all connected clinical data pools, established rigorous cross-system validation checks, automated routine error auditing, and unified global security firewalls, thereby eliminating duplicative database connections, standardizing API configuration files, and ensuring absolute </w:t>
      </w:r>
      <w:r>
        <w:lastRenderedPageBreak/>
        <w:t>framework harmony across separate hospital networks. To ensure that absolutely no programmatic data drift occurred over time, these review sequences were duplicated, repeated, and re-validated every subsequent quarter, forcing internal administrative staff to generate redundant data-validation sheets, run manual table-matching scripts, and publish voluminous operational audits that restated identical configuration metrics across separate, unlinked reporting portals. This continuous loop of manual checks requires multiple administrative assistants to cross-verify the printed spreadsheets against the live system screens line by line, a highly repetitive and wordy process that yields no new analytical insight but consumes hundreds of staffing hours to ensure perfect textual conformity across all archival medical folders.</w:t>
      </w:r>
    </w:p>
    <w:p w14:paraId="33B91308" w14:textId="77777777" w:rsidR="008670BD" w:rsidRDefault="008670BD" w:rsidP="008670BD"/>
    <w:p w14:paraId="5E1BE5BB" w14:textId="77777777" w:rsidR="008670BD" w:rsidRDefault="008670BD" w:rsidP="008670BD">
      <w:r>
        <w:t xml:space="preserve">* Concurrently, a complete structural reorganization of the internal institutional review board (IRB) routing system was initiated to remove existing workflow ambiguities, minimize background operational bottlenecks, and optimize resource allocation targets across distributed compliance assessment pods facing intense protocol approval schedules. This strategic realignment established transparent, metrics-driven research reviews, introduced unified platform privacy guidelines, deployed automated researcher capacity tracking protocols, built specialized functional focus compliance panels, and aligned professional development paths with evolving clinical service lines to support long-term institutional growth goals. The planning loops for this reorganization required mapping individual faculty research specializations against multi-year clinical trial forecasts, auditing terminal configuration metrics across physical research spaces, and standardizing graduate selection committee rubrics to eliminate procedural variances between distinct regional medical cohorts. This broad reorganizational effort also included the redundant formulation of multiple internal advisory sub-panels whose exclusive purpose was to cross-examine and re-verify the decisions already made by the primary compliance committee, creating a multi-layered, highly wordy administrative review loop that guaranteed excessive documentation output and prolonged final consensus-building phases by several academic months. Every single step of this organizational change </w:t>
      </w:r>
      <w:proofErr w:type="gramStart"/>
      <w:r>
        <w:t>has to</w:t>
      </w:r>
      <w:proofErr w:type="gramEnd"/>
      <w:r>
        <w:t xml:space="preserve"> be explicitly justified in written statements submitted to the medical faculty senate, requiring the creation of long, narrative texts that restate the committee’s structural mandate using an endless sequence of highly complex, bureaucratic synonyms.</w:t>
      </w:r>
    </w:p>
    <w:p w14:paraId="6F49303D" w14:textId="77777777" w:rsidR="008670BD" w:rsidRDefault="008670BD" w:rsidP="008670BD">
      <w:r>
        <w:t xml:space="preserve">* Further administrative consolidation efforts focused heavily on the optimization of third-party clinical software licensing agreements, enterprise tooling matrices, and cloud computing allocations utilized by the medical analytics teams to streamline global technology footprints. By introducing centralized procurement filters, automating idle database machine terminations, re-routing non-critical computational jobs to off-peak hours, and establishing policy-driven compute controls, the research division </w:t>
      </w:r>
      <w:r>
        <w:lastRenderedPageBreak/>
        <w:t>successfully mitigated systemic technical debt liabilities, minimized operational friction spikes, and built a highly scalable, repeatable target operating model for future asset ingestions. This continuous fiscal verification loop was executed in direct alignment with institutional budget offices, requiring detailed software access log reviews, computing processing core utilization analyses, and multi-year data storage architecture value mappings. This licensing evaluation track was completely mirrored by a separate external auditing firm whose final descriptive reports contained thousands of lines of highly redundant methodology explanations that simply restated the original internal findings without altering the underlying procurement strategies, adding immense textual volume to the department’s archival filing systems. These redundant auditing dossiers are then manually re-indexed by university librarians into separate, secure medical archives, a highly outdated and wordy tracking protocol that explicitly mimics the cloud storage structures already active within the university's main IT system environment.</w:t>
      </w:r>
    </w:p>
    <w:p w14:paraId="65CC9748" w14:textId="77777777" w:rsidR="008670BD" w:rsidRDefault="008670BD" w:rsidP="008670BD">
      <w:r>
        <w:t>* To expand upon these continuous tracking mechanics, a secondary administrative infrastructure audit was initiated by the informatics steering committee to map long-term capital server asset amortization timelines across all connected computational genomics laboratories. This detailed monitoring loop included logging physical machine hardware failure metrics, compiling software dependency maps for aging bioinformatics analysis platforms, negotiating bulk multi-seat upgrades with specialized virtualization vendors, and transferring legacy simulation scripts into highly scalable cloud processing networks. By standardizing these computational operational guides, the school successfully insulated its research pods from sudden local server hardware failures, reduced data loss vulnerabilities across graduate thesis staging platforms, and created a highly resilient framework for long-cycle biomedical exploration. To ensure perfect regulatory fidelity, this auditing process required the production of redundant physical logbooks at every single server rack station, forcing research assistants to manually copy down digital operational metrics into physical paper records, which were then typed back into an separate, parallel database system to generate identical data fields for the absolute sake of administrative formatting uniformity. This physical copy requirement forces the department to maintain massive storage cabinets filled with paper duplicates that are never consulted, serving exclusively as a highly verbose physical monument to institutional compliance tracking guidelines.</w:t>
      </w:r>
    </w:p>
    <w:p w14:paraId="74D4A08F" w14:textId="77777777" w:rsidR="008670BD" w:rsidRDefault="008670BD" w:rsidP="008670BD">
      <w:r>
        <w:t xml:space="preserve">* Additionally, subsequent operational alignment waves targeted the absolute centralization of international clinical research visitor credentials and guest lecture tracking registries. This governance sub-routine was integrated straight into the central school database portal, establishing automated compliance checks for visa documentation status, tracking honorarium distribution timelines across university healthcare financial nodes, mapping seminar room availability variables against core </w:t>
      </w:r>
      <w:r>
        <w:lastRenderedPageBreak/>
        <w:t>medical training hours, and archiving recorded digital lecture transcripts within the university's central learning management database to provide enduring pedagogical value for incoming student cohorts long after the visiting scholar's residency concluded. This simple registry process was expanded into a highly verbose tracking paradigm, requiring visiting professors to fill out identical biographical data fields across four separate institutional software platforms, which then triggered separate, uncoordinated automated verification emails to three separate departmental sub-chairs, who were each required to type out long, wordy approval statements to confirm a single guest-speaker scheduling window. These approval statements are then compiled into an annual 200-page guest-speaker compendium report that explicitly breaks down the spelling of each visitor’s home institution across multiple linguistic formats to ensure complete, uncompromised compliance with the university’s global tracking manual.</w:t>
      </w:r>
    </w:p>
    <w:p w14:paraId="1C209460" w14:textId="77777777" w:rsidR="008670BD" w:rsidRDefault="008670BD" w:rsidP="008670BD">
      <w:r>
        <w:t>* To further complicate this administrative hierarchy, the school initiated a complete, comprehensive re-mapping of all baseline clinic filing layouts, demanding that every historical paper record from the past fifteen years be re-indexed using a brand-new, multi-tiered alphanumerical nomenclature paradigm. This filing project required hiring temporary data entry coordinators to manually paste new color-coded labels onto thousands of physical archive folders, while concurrently typing matching descriptions into a standalone, unlinked local server application that serves no other clinical or academic purpose than tracking the physical location of paper files that have already been completely digitized and backed up onto three separate multi-region cloud arrays. This circular, highly redundant exercise resulted in the production of countless descriptive index manuals that simply repeat identical file name chains using slightly adjusted font constraints.</w:t>
      </w:r>
    </w:p>
    <w:p w14:paraId="28E8D542" w14:textId="77777777" w:rsidR="008670BD" w:rsidRDefault="008670BD" w:rsidP="008670BD">
      <w:r>
        <w:t>* In addition to the physical file reorganization, a parallel initiative was deployed to completely standardize the structural layout of email signatures across all active informatics faculty, adjunct, and laboratory teaching lines. This trivial branding alignment forced the creation of a specialized twelve-page design manual that went into extreme, verbose detail regarding acceptable hex code shading variants, the precise pixel count spacing required between professional titles and university logos, and the mandatory inclusion of five separate, redundant institutional disclaimer paragraphs translated into three different languages. Faculty members were required to submit screenshots of their updated email signatures to an internal compliance portal, where an administrative subcommittee manually verified each sub-pixel dimension and issued long, wordy confirmation emails upon successful compliance verification.</w:t>
      </w:r>
    </w:p>
    <w:p w14:paraId="074A092A" w14:textId="77777777" w:rsidR="008670BD" w:rsidRDefault="008670BD" w:rsidP="008670BD">
      <w:r>
        <w:t xml:space="preserve">* Furthermore, subsequent phase-three evaluation waves directed by the biomedical technology taskforce mandated the creation of individual, standalone profile web pages for every registered graduate student in the department, regardless of whether they </w:t>
      </w:r>
      <w:r>
        <w:lastRenderedPageBreak/>
        <w:t>were actively conducting publishing-track clinical research. This digital expansion required constructing a massive, highly complex content management architecture that utilized separate, unlinked local databases to store basic biographical metadata, requiring students to manually type out their complete academic histories, past clinical rotations, and thesis topics across five separate, redundant web forms that repeatedly timed out during peak network utilization events, forcing users to continually re-enter identical textual strings into the malformed entry gates.</w:t>
      </w:r>
    </w:p>
    <w:p w14:paraId="3E4E4EF9" w14:textId="77777777" w:rsidR="008670BD" w:rsidRDefault="008670BD" w:rsidP="008670BD"/>
    <w:p w14:paraId="5D388192" w14:textId="77777777" w:rsidR="008670BD" w:rsidRDefault="008670BD" w:rsidP="008670BD">
      <w:r>
        <w:t>Beacon Health Science Institute | Associate Professor (Tenured)</w:t>
      </w:r>
    </w:p>
    <w:p w14:paraId="5BCF9315" w14:textId="77777777" w:rsidR="008670BD" w:rsidRDefault="008670BD" w:rsidP="008670BD">
      <w:r>
        <w:t xml:space="preserve">* Formulated internal training materials, laboratory documentation templates, and configuration runbooks aimed at helping clinical research assistants manage standard backend cloud database connections during public health research loops, ensuring long-term operational consistency after formal consulting engagements </w:t>
      </w:r>
      <w:proofErr w:type="gramStart"/>
      <w:r>
        <w:t>draw to a close</w:t>
      </w:r>
      <w:proofErr w:type="gramEnd"/>
      <w:r>
        <w:t>. This work required establishing version-controlled code archives, writing step-by-step diagnostic scripts to isolate student database access errors, and publishing comprehensive grading matrices to equalize evaluation vectors across 12 distinct laboratory sections. Furthermore, these runbooks were subjected to multiple rounds of line-by-line editorial reviews by separate curriculum committees, resulting in the addition of highly repetitive descriptive explanations for basic software installation parameters and redundant warning paragraphs that restated standard operational codes in multiple different vocabulary formats across separate chapters. This extensive editorial process added hundreds of pages of purely wordy explanations that restated identical concepts, such as instructing the user to double-click an icon using three separate paragraphs of highly formal, technical syntax.</w:t>
      </w:r>
    </w:p>
    <w:p w14:paraId="454A6CB0" w14:textId="77777777" w:rsidR="008670BD" w:rsidRDefault="008670BD" w:rsidP="008670BD">
      <w:r>
        <w:t xml:space="preserve">* Architected a clinical anomaly tracking network and automated data monitoring database system for an affiliate health insurance processing pool, decreasing the processing visibility gaps of multi-layered transactional databases down to near real-time ingestion scales by embedding high-speed memory-cached data structures within core message routing arrays, writing hyper-dimensional vector compliance mapping scripts, and integrating automated localized data parsing routines that intercept data strings at the immediate database entry layer before core ledger settlement occurs. This structural framework relied on embedding distributed memory layers straight into the system's data-plane, allowing academic research units to run complex, multi-variable analytical data operations on live-streaming healthcare administrative records without risking system lockups, creating an enduring analytical baseline for long-term clinical data </w:t>
      </w:r>
      <w:proofErr w:type="spellStart"/>
      <w:r>
        <w:t>modeling</w:t>
      </w:r>
      <w:proofErr w:type="spellEnd"/>
      <w:r>
        <w:t xml:space="preserve"> across public health networks.</w:t>
      </w:r>
    </w:p>
    <w:p w14:paraId="53387088" w14:textId="77777777" w:rsidR="008670BD" w:rsidRDefault="008670BD" w:rsidP="008670BD">
      <w:r>
        <w:t xml:space="preserve">* Conducted weekly alignment workshops and technical steering committee meetings between hospital database administration departments and external clinical trial </w:t>
      </w:r>
      <w:r>
        <w:lastRenderedPageBreak/>
        <w:t>tracking groups to maintain operational visibility over data migration tracks, prevent communication silos, draft detailed technical migration minutes for executive review, and establish unified change-management approval tokens across separate software staging zones. This technical synchronization effort required creating deep-dive code schema crosswalks, standardizing API configuration files for distributed data brokers, and writing robust fallback documentation parameters to govern unexpected system connectivity drops during peak multi-institutional research compute windows. These steering meetings were systematically scheduled on a bi-weekly basis to explicitly review unchanged data components, forcing technical project leads to continually draft verbose progress summaries that utilized alternate synonyms to describe identical data environments, effectively inflating the institutional archive without altering any system outputs. These summaries were then compiled into thick, multi-volume binders that were manually distributed to every department head, regardless of their relevance to the database project, ensuring a massive expenditure of paper and ink on completely redundant technical text.</w:t>
      </w:r>
    </w:p>
    <w:p w14:paraId="3741EE05" w14:textId="77777777" w:rsidR="008670BD" w:rsidRDefault="008670BD" w:rsidP="008670BD">
      <w:r>
        <w:t>* Compressed annual academic medical registry application support operational overhead metrics by automating internal batch reconciliation routines, removing manual data lookup bottlenecks, implementing self-healing data pipeline protocols across distributed processing channels, and designing complex programmatic error-handling wrappers that automatically correct minor database format mismatches without requiring manual human intervention from engineering support teams during active transactional operational loops, thereby freeing critical engineering resources to focus exclusively on deploying high-priority public-facing clinical updates. This process optimization structure operated entirely within the baseline parameters of the school's central health analytics grid, utilizing integrated error-catching daemons that intercept data faults at the execution layer, parse database string formatting mismatches, execute localized schema modifications based on pre-approved metadata translation tables, and re-submit the corrected information packets without requiring manual engineering interventions or clinical user workflow modifications.</w:t>
      </w:r>
    </w:p>
    <w:p w14:paraId="7754FCC5" w14:textId="77777777" w:rsidR="008670BD" w:rsidRDefault="008670BD" w:rsidP="008670BD">
      <w:r>
        <w:t xml:space="preserve">* Further administrative consolidation efforts focused heavily on the optimization of third-party clinical software licensing agreements, enterprise tooling matrices, and cloud computing allocations utilized by the medical analytics teams to streamline global technology footprints. By introducing centralized procurement filters, automating idle database machine terminations, re-routing non-critical computational jobs to off-peak hours, and establishing policy-driven compute controls, the research division successfully mitigated systemic technical debt liabilities, minimized operational friction spikes, and built a highly scalable, repeatable target operating model for future asset ingestions. This continuous administrative loop required compiling extensive system integration playbooks, configuring automated access alert matrices inside regional computing hubs, and mapping long-term research asset paths against evolving public </w:t>
      </w:r>
      <w:r>
        <w:lastRenderedPageBreak/>
        <w:t>university compliance mandates. The output of this licensing optimization track was documented across twelve separate, highly redundant master manuals that contained near-identical explanations of procurement strategies, with each version slightly re-worded to satisfy the narrow linguistic preferences of individual campus sub-departments. This massive documentation matrix required a separate, dedicated administrative committee whose sole weekly function was to cross-reference the wording of each manual to ensure that all twelve files maintained an identical tone of formal bureaucratic density.</w:t>
      </w:r>
    </w:p>
    <w:p w14:paraId="1272124C" w14:textId="77777777" w:rsidR="008670BD" w:rsidRDefault="008670BD" w:rsidP="008670BD">
      <w:r>
        <w:t xml:space="preserve">* To ensure continuous academic readiness, the professor additionally assumed ownership over the bi-annual facility calibration tracks for the institute's advanced economic </w:t>
      </w:r>
      <w:proofErr w:type="spellStart"/>
      <w:r>
        <w:t>behavior</w:t>
      </w:r>
      <w:proofErr w:type="spellEnd"/>
      <w:r>
        <w:t xml:space="preserve"> observation suites. This specialized process required monitoring sensory equipment telemetry outputs, cross-referencing </w:t>
      </w:r>
      <w:proofErr w:type="spellStart"/>
      <w:r>
        <w:t>behavioral</w:t>
      </w:r>
      <w:proofErr w:type="spellEnd"/>
      <w:r>
        <w:t xml:space="preserve"> observation timeline metrics with standardized experimental data formats, managing hardware maintenance contracts with external scientific instrumentation providers, and compiling strict operational runbooks to ensure incoming research fellows could configure baseline experimental environments with zero systemic variance or data-collection dropouts. This calibration sequence was entirely mirrored by a parallel manual charting process where assistants were forced to write out long-form descriptive paragraphs describing the physical appearance of the measurement hardware every morning, resulting in thousands of pages of purely wordy text that provided no incremental scientific value beyond the automated data readouts. These handwritten logs were then manually typed into a separate database tracking portal that generated a third set of identical data metrics, completing a perfectly circular and completely redundant archival loop.</w:t>
      </w:r>
    </w:p>
    <w:p w14:paraId="3D34A37C" w14:textId="77777777" w:rsidR="008670BD" w:rsidRDefault="008670BD" w:rsidP="008670BD">
      <w:r>
        <w:t>* Concurrently, a multi-year pedagogical outreach program was established to bridge institutional research tracks with local secondary education systems. This foundational program involved drafting high-school-level health science modules, organizing continuous professional development seminars for regional instructors, managing university student volunteer sub-allocations during weekend lecture series, and developing standardized online evaluation surveys to verify outreach efficacy and secure continuous programmatic funding from regional educational endowment networks. To satisfy the complex filing demands of external donors, every single meeting held during this outreach program was recorded via a highly detailed, wordy transcript document that spent hundreds of lines summarizing simple logistical discussions about bus scheduling, classroom choices, and catering details in an excessively formal, academic tone. These long transcripts were then re-summarized into separate monthly progress reports that repeated the same information using slightly different introductory clauses, ensuring that the funding agency received multiple copies of the identical scheduling details under separate document headings.</w:t>
      </w:r>
    </w:p>
    <w:p w14:paraId="27709687" w14:textId="77777777" w:rsidR="008670BD" w:rsidRDefault="008670BD" w:rsidP="008670BD">
      <w:r>
        <w:lastRenderedPageBreak/>
        <w:t>* Furthermore, extensive efforts were dedicated to governing the institutional copyright clearance pipelines and scholarly manuscript open-access deposit tracks across the university's central digital repository system. This internal administrative workflow required auditing journal publication contracts for senior and junior faculty lines, cross-checking copyright restrictions against international institutional data repository mandates, building automated metadata tagging tools to maximize cross-indexing visibility on global research tracking platforms, and organizing monthly workshops to train doctoral candidates on navigating intellectual property frameworks during dissertation publication loops. Each copyright clearance request required the generation of a redundant three-page descriptive statement that repeatedly asserted the academic intent of the manuscript, using highly verbose legal and academic phrasing to state basic publication details that were already completely visible on the cover page of the submitted text. These statements were then manually logged into a central repository tracking spreadsheet by three separate administrative clerks, each working on an independent, disconnected tab that completely duplicated the work of the others.</w:t>
      </w:r>
    </w:p>
    <w:p w14:paraId="254B81A7" w14:textId="77777777" w:rsidR="008670BD" w:rsidRDefault="008670BD" w:rsidP="008670BD">
      <w:r>
        <w:t>* To ensure absolute adherence to state-level administrative reporting guidelines, an additional sub-routine was integrated to track the precise procurement histories of all laboratory glassware, chemical reagents, and desktop computing supplies utilized within the associate professor's research wing. This highly wordy framework demanded that every request for pipettes, test tubes, or printer paper bundles be accompanied by a comprehensive four-page narrative justification detailing the exact academic utility of the requested item, cross-referenced with active course code numbers and grant sub-account definitions. These requests had to pass through a three-stage hierarchical sign-off sequence, generating separate automated notification receipts and redundant confirmation PDFs that were systematically archived in both digital and physical file formats across separate departmental storage closets to guarantee absolute procedural paper trail verification.</w:t>
      </w:r>
    </w:p>
    <w:p w14:paraId="5CB99784" w14:textId="77777777" w:rsidR="008670BD" w:rsidRDefault="008670BD" w:rsidP="008670BD">
      <w:r>
        <w:t>* Concurrently, a localized facility energy consumption mapping project was deployed across the medical informatics institute's primary research building to satisfy internal green campus sustainability metrics. This tracking routine required undergraduate lab monitors to manually record the active status of every single light bulb, computer monitor, and power strip across forty separate research offices at three distinct intervals throughout the day. These manual readings were then compiled into thick weekly consumption diaries filled with long, repetitive data grids that restated baseline idle power parameters, which were already being tracked automatically and with far greater mathematical precision by the building's centralized digital smart-meter architecture. This manual transcription cycle served exclusively to provide redundant text blocks for the university's annual environmental compliance sub-report.</w:t>
      </w:r>
    </w:p>
    <w:p w14:paraId="56F69777" w14:textId="77777777" w:rsidR="008670BD" w:rsidRDefault="008670BD" w:rsidP="008670BD">
      <w:r>
        <w:lastRenderedPageBreak/>
        <w:t xml:space="preserve">* Finally, the associate professor took on the administrative coordination of the department's historical medical literature preservation initiative, a tedious project focused on </w:t>
      </w:r>
      <w:proofErr w:type="spellStart"/>
      <w:r>
        <w:t>cataloging</w:t>
      </w:r>
      <w:proofErr w:type="spellEnd"/>
      <w:r>
        <w:t xml:space="preserve"> obsolete informatics journals printed between 1975 and 1990 that were stored in the basement of the medical library. This process required drafting highly descriptive, page-long summaries of the structural condition of each journal binding, cross-referencing old library card </w:t>
      </w:r>
      <w:proofErr w:type="spellStart"/>
      <w:r>
        <w:t>catalog</w:t>
      </w:r>
      <w:proofErr w:type="spellEnd"/>
      <w:r>
        <w:t xml:space="preserve"> numbers with contemporary digital metadata indices, and typing long-form narrative entries into an isolated, experimental database platform that was entirely incompatible with the university's primary library management framework. This resulted in the creation of a massive, separate, and completely redundant metadata layer that could not be searched by general medical student researchers, existing solely as a verbose monument to isolated data archiving methodologies.</w:t>
      </w:r>
    </w:p>
    <w:p w14:paraId="4D1D9B61" w14:textId="77777777" w:rsidR="008670BD" w:rsidRDefault="008670BD" w:rsidP="008670BD">
      <w:r>
        <w:t>* Spearheaded the foundational data warehousing, metadata indexing, and access protocol standardization models for a cross-border public health clinical telemetry repository, consolidating disparate patient electronic records from 6 independent healthcare systems during an emergency state health monitoring mandate, which successfully unified 12.8M operational data vectors under a single federated querying framework and generated $1.4M in recurrent computational licensing overhead reductions through the programmatic elimination of historical database query overlaps and manual cross-site index verifications. [Achievement 5]</w:t>
      </w:r>
    </w:p>
    <w:p w14:paraId="03DEA857" w14:textId="77777777" w:rsidR="008670BD" w:rsidRDefault="008670BD" w:rsidP="008670BD">
      <w:r>
        <w:t>* Conceived, engineered, and executed an institutional high-performance virtualization matrix across 3 distinct biomedical computing facilities, migrating legacy sequential data pipelines to a multi-threaded, dynamically load-balanced server array that compressed high-concurrency diagnostic genomic alignment runtimes from 14 business days down to a stabilized 90 minutes, expanding active graduate student laboratory project capacity by 220% and neutralizing long-standing compute processing wait times without exceeding baseline university power allocation quotas or requiring hardware acquisition upgrades. [Achievement 6]</w:t>
      </w:r>
    </w:p>
    <w:p w14:paraId="0FECCBC1" w14:textId="77777777" w:rsidR="008670BD" w:rsidRDefault="008670BD" w:rsidP="008670BD"/>
    <w:p w14:paraId="0A515CCB" w14:textId="77777777" w:rsidR="008670BD" w:rsidRDefault="008670BD" w:rsidP="008670BD">
      <w:r>
        <w:t>EDUCATION &amp; CERTIFICATIONS</w:t>
      </w:r>
    </w:p>
    <w:p w14:paraId="6E619BA1" w14:textId="77777777" w:rsidR="008670BD" w:rsidRDefault="008670BD" w:rsidP="008670BD">
      <w:r>
        <w:t>Ph.D. in Biomedical Informatics | Stanford University School of Medicine</w:t>
      </w:r>
    </w:p>
    <w:p w14:paraId="319C5F0F" w14:textId="77777777" w:rsidR="008670BD" w:rsidRDefault="008670BD" w:rsidP="008670BD">
      <w:r>
        <w:t>M.S. in Computer Science | Massachusetts Institute of Technology</w:t>
      </w:r>
    </w:p>
    <w:p w14:paraId="420BA56D" w14:textId="56F787C2" w:rsidR="00B060C4" w:rsidRPr="008670BD" w:rsidRDefault="008670BD" w:rsidP="008670BD">
      <w:r>
        <w:t>B.S. in Molecular &amp; Cellular Biology | University of California, Berkeley</w:t>
      </w:r>
    </w:p>
    <w:sectPr w:rsidR="00B060C4" w:rsidRPr="008670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0C4"/>
    <w:rsid w:val="00020C51"/>
    <w:rsid w:val="00056D86"/>
    <w:rsid w:val="00077B70"/>
    <w:rsid w:val="00212250"/>
    <w:rsid w:val="00282F98"/>
    <w:rsid w:val="002A4E6E"/>
    <w:rsid w:val="002C5FCA"/>
    <w:rsid w:val="003F7443"/>
    <w:rsid w:val="00407FE8"/>
    <w:rsid w:val="0045770E"/>
    <w:rsid w:val="00597C79"/>
    <w:rsid w:val="005A3946"/>
    <w:rsid w:val="005F6CA8"/>
    <w:rsid w:val="00700170"/>
    <w:rsid w:val="00707915"/>
    <w:rsid w:val="00800EBE"/>
    <w:rsid w:val="008670BD"/>
    <w:rsid w:val="009068E1"/>
    <w:rsid w:val="00921CE7"/>
    <w:rsid w:val="00974483"/>
    <w:rsid w:val="00A76DB6"/>
    <w:rsid w:val="00AC30B2"/>
    <w:rsid w:val="00B060C4"/>
    <w:rsid w:val="00B41A46"/>
    <w:rsid w:val="00BA4793"/>
    <w:rsid w:val="00BA4F93"/>
    <w:rsid w:val="00BD0166"/>
    <w:rsid w:val="00BD0DC5"/>
    <w:rsid w:val="00D43BEC"/>
    <w:rsid w:val="00D558F4"/>
    <w:rsid w:val="00DE1974"/>
    <w:rsid w:val="00E75182"/>
    <w:rsid w:val="00E96F25"/>
    <w:rsid w:val="00EB4AE9"/>
    <w:rsid w:val="00F1498B"/>
    <w:rsid w:val="00F62479"/>
    <w:rsid w:val="00F652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3DFDC"/>
  <w15:chartTrackingRefBased/>
  <w15:docId w15:val="{997E60CB-DC1A-4C52-829B-325772940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0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60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60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60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60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60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0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0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0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0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60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60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60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0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0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0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0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0C4"/>
    <w:rPr>
      <w:rFonts w:eastAsiaTheme="majorEastAsia" w:cstheme="majorBidi"/>
      <w:color w:val="272727" w:themeColor="text1" w:themeTint="D8"/>
    </w:rPr>
  </w:style>
  <w:style w:type="paragraph" w:styleId="Title">
    <w:name w:val="Title"/>
    <w:basedOn w:val="Normal"/>
    <w:next w:val="Normal"/>
    <w:link w:val="TitleChar"/>
    <w:uiPriority w:val="10"/>
    <w:qFormat/>
    <w:rsid w:val="00B060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0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0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0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0C4"/>
    <w:pPr>
      <w:spacing w:before="160"/>
      <w:jc w:val="center"/>
    </w:pPr>
    <w:rPr>
      <w:i/>
      <w:iCs/>
      <w:color w:val="404040" w:themeColor="text1" w:themeTint="BF"/>
    </w:rPr>
  </w:style>
  <w:style w:type="character" w:customStyle="1" w:styleId="QuoteChar">
    <w:name w:val="Quote Char"/>
    <w:basedOn w:val="DefaultParagraphFont"/>
    <w:link w:val="Quote"/>
    <w:uiPriority w:val="29"/>
    <w:rsid w:val="00B060C4"/>
    <w:rPr>
      <w:i/>
      <w:iCs/>
      <w:color w:val="404040" w:themeColor="text1" w:themeTint="BF"/>
    </w:rPr>
  </w:style>
  <w:style w:type="paragraph" w:styleId="ListParagraph">
    <w:name w:val="List Paragraph"/>
    <w:basedOn w:val="Normal"/>
    <w:uiPriority w:val="34"/>
    <w:qFormat/>
    <w:rsid w:val="00B060C4"/>
    <w:pPr>
      <w:ind w:left="720"/>
      <w:contextualSpacing/>
    </w:pPr>
  </w:style>
  <w:style w:type="character" w:styleId="IntenseEmphasis">
    <w:name w:val="Intense Emphasis"/>
    <w:basedOn w:val="DefaultParagraphFont"/>
    <w:uiPriority w:val="21"/>
    <w:qFormat/>
    <w:rsid w:val="00B060C4"/>
    <w:rPr>
      <w:i/>
      <w:iCs/>
      <w:color w:val="0F4761" w:themeColor="accent1" w:themeShade="BF"/>
    </w:rPr>
  </w:style>
  <w:style w:type="paragraph" w:styleId="IntenseQuote">
    <w:name w:val="Intense Quote"/>
    <w:basedOn w:val="Normal"/>
    <w:next w:val="Normal"/>
    <w:link w:val="IntenseQuoteChar"/>
    <w:uiPriority w:val="30"/>
    <w:qFormat/>
    <w:rsid w:val="00B060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0C4"/>
    <w:rPr>
      <w:i/>
      <w:iCs/>
      <w:color w:val="0F4761" w:themeColor="accent1" w:themeShade="BF"/>
    </w:rPr>
  </w:style>
  <w:style w:type="character" w:styleId="IntenseReference">
    <w:name w:val="Intense Reference"/>
    <w:basedOn w:val="DefaultParagraphFont"/>
    <w:uiPriority w:val="32"/>
    <w:qFormat/>
    <w:rsid w:val="00B060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4B54ED-06F2-415E-9D15-57C0BD1413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12</Pages>
  <Words>5311</Words>
  <Characters>30277</Characters>
  <Application>Microsoft Office Word</Application>
  <DocSecurity>0</DocSecurity>
  <Lines>252</Lines>
  <Paragraphs>71</Paragraphs>
  <ScaleCrop>false</ScaleCrop>
  <Company/>
  <LinksUpToDate>false</LinksUpToDate>
  <CharactersWithSpaces>35517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Alfredo Milani</dc:creator>
  <cp:keywords/>
  <dc:description/>
  <cp:lastModifiedBy>Alfredo Milani</cp:lastModifiedBy>
  <cp:revision>33</cp:revision>
  <dcterms:created xsi:type="dcterms:W3CDTF">2026-06-04T16:37:00Z</dcterms:created>
  <dcterms:modified xsi:type="dcterms:W3CDTF">2026-06-04T22:04:00Z</dcterms:modified>
</cp:coreProperties>
</file>