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12C8" w14:textId="77777777" w:rsidR="00597984" w:rsidRDefault="00597984" w:rsidP="00597984">
      <w:r>
        <w:t>CV-ID: CV27</w:t>
      </w:r>
    </w:p>
    <w:p w14:paraId="62752962" w14:textId="48A113EA" w:rsidR="00357EC8" w:rsidRDefault="00357EC8" w:rsidP="00597984">
      <w:r>
        <w:t xml:space="preserve">CV OF </w:t>
      </w:r>
      <w:r w:rsidR="00C44069" w:rsidRPr="00C44069">
        <w:t>David Lombardi</w:t>
      </w:r>
    </w:p>
    <w:p w14:paraId="4ACE2A5E" w14:textId="18251A78" w:rsidR="00597984" w:rsidRDefault="00597984" w:rsidP="00597984">
      <w:r>
        <w:t>TARGET ROLE: Full Professor &amp; Department Chair – Cloud Infrastructure Systems &amp; Cybersecurity Governance</w:t>
      </w:r>
    </w:p>
    <w:p w14:paraId="623C3C53" w14:textId="77777777" w:rsidR="00597984" w:rsidRDefault="00597984" w:rsidP="00597984">
      <w:r>
        <w:t>CONTACT: cv27@evaluation-dataset.local</w:t>
      </w:r>
    </w:p>
    <w:p w14:paraId="3BE336BC" w14:textId="77777777" w:rsidR="00597984" w:rsidRDefault="00597984" w:rsidP="00597984"/>
    <w:p w14:paraId="16B7AA6F" w14:textId="77777777" w:rsidR="00597984" w:rsidRDefault="00597984" w:rsidP="00597984">
      <w:r>
        <w:t>PROFESSIONAL SUMMARY</w:t>
      </w:r>
    </w:p>
    <w:p w14:paraId="1F121987" w14:textId="77777777" w:rsidR="00597984" w:rsidRDefault="00597984" w:rsidP="00597984">
      <w:r>
        <w:t xml:space="preserve">Distinguished senior technologist, enterprise cloud architect, and incoming academic leader with over 14 years of advanced engineering and institutional governance experience designing planetary-scale distributed systems, orchestration frameworks, and automated compliance networks for Fortune 100 institutions. Recognized authority in zero-trust network architectures, multi-cloud structural alignments, and large-scale data </w:t>
      </w:r>
      <w:proofErr w:type="spellStart"/>
      <w:r>
        <w:t>center</w:t>
      </w:r>
      <w:proofErr w:type="spellEnd"/>
      <w:r>
        <w:t xml:space="preserve"> migration pathways, possessing a deep publishing and advisory history in distributed systems lifecycle governance. Adept at bridging the gap between theoretical computer science research and global corporate policy, managing multi-million-dollar operational budgets, mentoring junior systems engineers through complex technical milestones, and cultivating strategic academic-industry partnerships to amplify institutional research footprints.</w:t>
      </w:r>
    </w:p>
    <w:p w14:paraId="146A022C" w14:textId="77777777" w:rsidR="00597984" w:rsidRDefault="00597984" w:rsidP="00597984"/>
    <w:p w14:paraId="41E21951" w14:textId="77777777" w:rsidR="00597984" w:rsidRDefault="00597984" w:rsidP="00597984">
      <w:r>
        <w:t>CORE COMPETENCIES &amp; ACADEMIC GOVERNANCE</w:t>
      </w:r>
    </w:p>
    <w:p w14:paraId="19F20F45" w14:textId="77777777" w:rsidR="00597984" w:rsidRDefault="00597984" w:rsidP="00597984">
      <w:r>
        <w:t>Research Specialization: Multi-Region Cloud Topology, Hybrid Identity Engineering, Zero-Trust Architecture (ZTA)</w:t>
      </w:r>
    </w:p>
    <w:p w14:paraId="7640918C" w14:textId="77777777" w:rsidR="00597984" w:rsidRDefault="00597984" w:rsidP="00597984">
      <w:r>
        <w:t>Departmental Leadership: Cross-Functional Team Governance, Budget Administration, Infrastructure De-siloing</w:t>
      </w:r>
    </w:p>
    <w:p w14:paraId="261C8CA4" w14:textId="77777777" w:rsidR="00597984" w:rsidRDefault="00597984" w:rsidP="00597984">
      <w:r>
        <w:t>Pedagogical Excellence: Engineering Mentor, Advanced Graduate Seminars, Interdisciplinary Curriculum Design</w:t>
      </w:r>
    </w:p>
    <w:p w14:paraId="304C2EE5" w14:textId="77777777" w:rsidR="00597984" w:rsidRDefault="00597984" w:rsidP="00597984">
      <w:r>
        <w:t>Institutional Advancement: Technical Playbook Writing, Regulatory Matrix Integration, Ethics Board Oversight</w:t>
      </w:r>
    </w:p>
    <w:p w14:paraId="75AFCD52" w14:textId="77777777" w:rsidR="00597984" w:rsidRDefault="00597984" w:rsidP="00597984"/>
    <w:p w14:paraId="7464C397" w14:textId="77777777" w:rsidR="00597984" w:rsidRDefault="00597984" w:rsidP="00597984">
      <w:r>
        <w:t>CHRONOLOGICAL PROFESSIONAL &amp; ACADEMIC HISTORY</w:t>
      </w:r>
    </w:p>
    <w:p w14:paraId="58B05AFC" w14:textId="77777777" w:rsidR="00597984" w:rsidRDefault="00597984" w:rsidP="00597984">
      <w:r>
        <w:t>Apex Global Financial Technologies | Senior Director of Infrastructure Engineering</w:t>
      </w:r>
    </w:p>
    <w:p w14:paraId="009F5B61" w14:textId="77777777" w:rsidR="00597984" w:rsidRDefault="00597984" w:rsidP="00597984">
      <w:r>
        <w:t xml:space="preserve">* Assumes overall operational accountability, architectural review mandates, and strategic engineering planning loops for a core infrastructure division encompassing 75 </w:t>
      </w:r>
      <w:r>
        <w:lastRenderedPageBreak/>
        <w:t>full-time site reliability engineers and 14 distinct globally distributed platform deployment cells, organizing continuous peer architecture reviews and coordinating with institutional risk oversight bodies to maintain absolute financial compliance standards. This heavy administrative responsibility requires exhaustive documentation maintenance, continuous bi-annual reporting loops with regional programmatic validation boards, and direct daily coordination with the Office of Capital Allocation to manage baseline fiscal spending targets, oversee line-item software licensing expenditures, manage discretionary cloud research balances, and ensure total compliance with institutional corporate financial mandates. Furthermore, this role requires the constant, repetitive oversight of day-to-day platform operational workflows, the formatting of weekly engineering summaries, the manual validation of compute cluster utilization matrices, and the balancing of multi-quarter deployment schedules across separate business units to prevent structural administrative friction. This complex technical management paradigm requires the director to sit on multiple redundant internal advisory subcommittees, drafting excessively long technical briefs that repeat basic infrastructure statistics, manual review of individual engineer time allocation cards, and the tedious, repetitive formatting of tri-annual self-study dossiers for external regulatory validation boards that insist on reviewing identical metric baselines year after year.</w:t>
      </w:r>
    </w:p>
    <w:p w14:paraId="7C8145F1" w14:textId="77777777" w:rsidR="00597984" w:rsidRDefault="00597984" w:rsidP="00597984">
      <w:r>
        <w:t>* Masterminded an end-to-end multi-region, zero-trust cloud infrastructure migration and global platform optimization roadmap across 5 sovereign cloud availability zones, replacing an aging legacy bare-metal server cluster with a cloud-native, highly secure Kubernetes container deployment framework that expanded real-time transaction processing throughput by 190% while establishing multi-region active-active state replication topologies across critical ledger databases to eliminate historical nightly data-processing bottlenecks, guarantee continuous data state visibility, and introduce high-performance asynchronous messaging fabrics based on Apache Kafka event streams that systematically insulate the institution from runtime network isolation events, while additionally enforcing strict multi-layered encryption protocols and cross-border financial data sovereignty compliance matrices across all live development environments. [Achievement 1]</w:t>
      </w:r>
    </w:p>
    <w:p w14:paraId="0665271E" w14:textId="77777777" w:rsidR="00597984" w:rsidRDefault="00597984" w:rsidP="00597984">
      <w:r>
        <w:t xml:space="preserve">* Spearheaded the formal operational coordination and technical resource balancing protocols for junior site reliability engineers assigned to the core platform stability wing, ensuring baseline system uptime-hour quotas were strictly maintained in accordance with corporate statutory guidelines, reviewing pipeline staging paths for upcoming software microservice releases, and organizing continuous professional development bootcamps focused on extracting alternative system telemetry metrics from automated tracing frameworks. This extensive onboarding paradigm includes designing multi-layered micro-deployment evaluation frameworks, </w:t>
      </w:r>
      <w:proofErr w:type="spellStart"/>
      <w:r>
        <w:t>cataloging</w:t>
      </w:r>
      <w:proofErr w:type="spellEnd"/>
      <w:r>
        <w:t xml:space="preserve"> departmental data storage permissions, tracking infrastructure engineering colloquium attendance </w:t>
      </w:r>
      <w:r>
        <w:lastRenderedPageBreak/>
        <w:t xml:space="preserve">registries, and building internal citation indexing software tools to verify code resonance metrics across global development frameworks long before formal promotion review packets are assembled for executive engineering inspection loops. To expand upon this, the tracking system requires manual verification of cross-institutional software licensing agreements, deep-dive indexing of public code repositories, continuous monitoring of international architecture panel allocations, and the creation of comprehensive, multi-page feedback reports that </w:t>
      </w:r>
      <w:proofErr w:type="spellStart"/>
      <w:r>
        <w:t>analyze</w:t>
      </w:r>
      <w:proofErr w:type="spellEnd"/>
      <w:r>
        <w:t xml:space="preserve"> every single baseline variable of an engineer's daily operational output to guarantee flawless synchronization with long-term platform engineering expectations. This manual monitoring work is explicitly duplicated across three separate committee layers, each of which reads the exact same code check-ins, types out highly wordy, near-identical evaluations utilizing slightly different pieces of bureaucratic corporate jargon, and schedules repetitive oral consultation meetings with the candidates to emphasize operational feedback that has already been documented multiple times in writing.</w:t>
      </w:r>
    </w:p>
    <w:p w14:paraId="719A4C96" w14:textId="77777777" w:rsidR="00597984" w:rsidRDefault="00597984" w:rsidP="00597984">
      <w:r>
        <w:t xml:space="preserve">* Supervised the weekly administrative assembly, milestone tracking schedules, and programmatic task allocations for platform engineering teams, ensuring standard corporate payroll compliance guidelines were steadily fulfilled, maintaining records of site reliability engineer performance metrics, and compiling detailed annual reports for submission to the Office of Enterprise Technology to justify future engineering head-count line allocations. This corporate workflow requires conducting systematic code repository rubrics audits, reviewing data </w:t>
      </w:r>
      <w:proofErr w:type="spellStart"/>
      <w:r>
        <w:t>center</w:t>
      </w:r>
      <w:proofErr w:type="spellEnd"/>
      <w:r>
        <w:t xml:space="preserve"> safety registration parameters, logging physical facility entry times across security operation </w:t>
      </w:r>
      <w:proofErr w:type="spellStart"/>
      <w:r>
        <w:t>centers</w:t>
      </w:r>
      <w:proofErr w:type="spellEnd"/>
      <w:r>
        <w:t>, and drafting extensive performance post-mortems for every active engineering cohort to guarantee complete procedural synchronization with evolving corporate union guidelines. Additionally, this manual auditing process involves reviewing server access logs on a bi-weekly basis, compiling internal engineering feedback metrics, cross-referencing system outcomes against historical departmental averages to spot operational skew patterns, and hosting redundant, mandatory orientation seminars designed to retrain graduate platform engineers on standard institutional documentation styles and backend system deployment pathways. This process is further weighed down by the requirement to physically print out, hand-sign, scan, and digitally upload individual access allocation sheets every single month, producing a massive paper trail that simply reiterates the digital security log files already saved on the central corporate network server.</w:t>
      </w:r>
    </w:p>
    <w:p w14:paraId="47791A84" w14:textId="77777777" w:rsidR="00597984" w:rsidRDefault="00597984" w:rsidP="00597984">
      <w:r>
        <w:t xml:space="preserve">* Formulated, tested, and cross-validated an open-source security compliance automation and policy-as-code tokenization pipeline deployed across 16 independent regional cloud architectures, which automated the structural isolation of non-compliant infrastructure resources, successfully processed 950,000 real-time vulnerability scan profiles within its first year of release, and achieved a verified 99.8% precision rating against manual security operations </w:t>
      </w:r>
      <w:proofErr w:type="spellStart"/>
      <w:r>
        <w:t>center</w:t>
      </w:r>
      <w:proofErr w:type="spellEnd"/>
      <w:r>
        <w:t xml:space="preserve"> double-blind control validation checks, effectively eliminating historical cross-site security policy </w:t>
      </w:r>
      <w:r>
        <w:lastRenderedPageBreak/>
        <w:t>discrepancies without requiring localized pipeline overrides or manual data re-coding structures. [Achievement 2]</w:t>
      </w:r>
    </w:p>
    <w:p w14:paraId="0BFB15E5" w14:textId="77777777" w:rsidR="00597984" w:rsidRDefault="00597984" w:rsidP="00597984">
      <w:r>
        <w:t>* Commanded the end-to-end operational recovery and architectural optimization strategy for a stalled multi-region data lake federation research initiative funded by an enterprise data systems grant, restructuring broken cryptographic data nodes across 7 participating sovereign database environments to securely process decentralized analytical financial registries, which compressed model synchronization iteration loops from 22 hours down to 14 minutes, boosted cross-validation database query performance parameters by 38%, and safely prevented $2.4M in projected project overrun allocations through the automated harmonization of disjointed local access tokens. [Achievement 3]</w:t>
      </w:r>
    </w:p>
    <w:p w14:paraId="3A83A0CC" w14:textId="77777777" w:rsidR="00597984" w:rsidRDefault="00597984" w:rsidP="00597984">
      <w:r>
        <w:t>* Spearheaded the automated orchestration and credential-rotation synthesis for a complex multi-factor enterprise directory environment, eliminating a backlog of 14,000 stale security principal permissions across 3 independent corporate domains within 90 days, which reduced internal access provisioning turnaround windows by 82% and systematically mitigated cross-tenant security inheritance vectors without requiring external systems integration consulting overhead. [Achievement 4]</w:t>
      </w:r>
    </w:p>
    <w:p w14:paraId="66BC8B32" w14:textId="77777777" w:rsidR="00597984" w:rsidRDefault="00597984" w:rsidP="00597984"/>
    <w:p w14:paraId="6A34FC3D" w14:textId="77777777" w:rsidR="00597984" w:rsidRDefault="00597984" w:rsidP="00597984">
      <w:r>
        <w:t xml:space="preserve">&gt; **OPERATIONAL CASE STUDY 3: Global Data </w:t>
      </w:r>
      <w:proofErr w:type="spellStart"/>
      <w:r>
        <w:t>Center</w:t>
      </w:r>
      <w:proofErr w:type="spellEnd"/>
      <w:r>
        <w:t xml:space="preserve"> Decommissioning &amp; Zero-Trust Architecture Realignment**</w:t>
      </w:r>
    </w:p>
    <w:p w14:paraId="0DBDB2C3" w14:textId="77777777" w:rsidR="00597984" w:rsidRDefault="00597984" w:rsidP="00597984">
      <w:r>
        <w:t xml:space="preserve">&gt; * **Corporate </w:t>
      </w:r>
      <w:proofErr w:type="gramStart"/>
      <w:r>
        <w:t>Context:*</w:t>
      </w:r>
      <w:proofErr w:type="gramEnd"/>
      <w:r>
        <w:t>* The enterprise financial data core was struggling with severe infrastructure isolation barriers, fragmented regional network access agreements, and manual compliance harmonization methods that introduced severe deployment validation delays and compromised the accuracy of cross-border risk forecasting models.</w:t>
      </w:r>
    </w:p>
    <w:p w14:paraId="417FAD52" w14:textId="77777777" w:rsidR="00597984" w:rsidRDefault="00597984" w:rsidP="00597984">
      <w:r>
        <w:t xml:space="preserve">* **Diagnostic &amp; </w:t>
      </w:r>
      <w:proofErr w:type="gramStart"/>
      <w:r>
        <w:t>Intervention:*</w:t>
      </w:r>
      <w:proofErr w:type="gramEnd"/>
      <w:r>
        <w:t>* Directed an intense 26-week programmatic restructuring of the financial institution's central identity governance and data access pipelines. Led a comprehensive overhaul of network security compliance vectors and multi-institutional data use agreements across 6 sovereign corporate operating environments. Engineered a centralized, cloud-hosted secure processing sandbox integrated with automated network anonymization scripts that consolidated disparate regional transaction data feeds into a single accessible analytical dashboard, allowing credentialed data scientists to run complex risk forecasting simulations without compromising underlying data privacy frameworks.</w:t>
      </w:r>
    </w:p>
    <w:p w14:paraId="5A28EB65" w14:textId="77777777" w:rsidR="00597984" w:rsidRDefault="00597984" w:rsidP="00597984">
      <w:r>
        <w:t xml:space="preserve">* **Redundant Descriptive </w:t>
      </w:r>
      <w:proofErr w:type="gramStart"/>
      <w:r>
        <w:t>Analysis:*</w:t>
      </w:r>
      <w:proofErr w:type="gramEnd"/>
      <w:r>
        <w:t xml:space="preserve">* Following the formal finalization of these strategic research infrastructure adjustments, the overarching operational data integration pipelines proceeded through an intensive sequence of post-close reviews </w:t>
      </w:r>
      <w:r>
        <w:lastRenderedPageBreak/>
        <w:t xml:space="preserve">directed by the corporate steering board to </w:t>
      </w:r>
      <w:proofErr w:type="gramStart"/>
      <w:r>
        <w:t>completely eliminate</w:t>
      </w:r>
      <w:proofErr w:type="gramEnd"/>
      <w:r>
        <w:t xml:space="preserve"> legacy data processing inefficiencies. These structural governance protocols tracked backend data transmission paths, verified system telemetry parameters across all connected clinical data pools, established rigorous cross-system validation checks, automated routine error auditing, and unified global security firewalls, thereby eliminating duplicative database connections, standardizing API configuration files, and ensuring absolute framework harmony across separate regional networks. To ensure that absolutely no programmatic data drift occurred over time, these review sequences were duplicated, repeated, and re-validated every subsequent quarter, forcing internal administrative staff to generate redundant data-validation sheets, run manual table-matching scripts, and publish voluminous operational audits that restated identical configuration metrics across separate, unlinked reporting portals. This continuous loop of manual checks requires multiple administrative assistants to cross-verify the printed spreadsheets against the live system screens line by line, a highly repetitive and wordy process that yields no new analytical insight but consumes hundreds of staffing hours to ensure perfect textual conformity across all archival financial folders.</w:t>
      </w:r>
    </w:p>
    <w:p w14:paraId="6EDB5BE7" w14:textId="77777777" w:rsidR="00597984" w:rsidRDefault="00597984" w:rsidP="00597984"/>
    <w:p w14:paraId="7061A16E" w14:textId="77777777" w:rsidR="00597984" w:rsidRDefault="00597984" w:rsidP="00597984">
      <w:r>
        <w:t xml:space="preserve">* Concurrently, a complete structural reorganization of the internal architecture review board (ARB) routing system was initiated to remove existing workflow ambiguities, minimize background operational bottlenecks, and optimize resource allocation targets across distributed compliance assessment pods facing intense system approval schedules. This strategic realignment established transparent, metrics-driven infrastructure assessments, introduced unified platform engineering guidelines, deployed automated engineer capacity tracking protocols, built specialized functional focus compliance panels, and aligned professional development paths with evolving production service lines to support long-term institutional growth goals. The planning loops for this reorganization required mapping individual team technical specializations against multi-year product delivery forecasts, auditing machine configuration metrics across physical data </w:t>
      </w:r>
      <w:proofErr w:type="spellStart"/>
      <w:r>
        <w:t>centers</w:t>
      </w:r>
      <w:proofErr w:type="spellEnd"/>
      <w:r>
        <w:t xml:space="preserve">, and standardizing graduate selection committee rubrics to eliminate procedural variances between distinct regional engineering cohorts. This broad reorganizational effort also included the redundant formulation of multiple internal advisory sub-panels whose exclusive purpose was to cross-examine and re-verify the decisions already made by the primary architecture committee, creating a multi-layered, highly wordy administrative review loop that guaranteed excessive documentation output and prolonged final consensus-building phases by several corporate quarters. Every single step of this organizational change </w:t>
      </w:r>
      <w:proofErr w:type="gramStart"/>
      <w:r>
        <w:t>has to</w:t>
      </w:r>
      <w:proofErr w:type="gramEnd"/>
      <w:r>
        <w:t xml:space="preserve"> be explicitly justified in written statements submitted to the corporate engineering senate, requiring the creation of long, narrative texts that restate the committee’s structural mandate using an endless sequence of highly complex, bureaucratic synonyms.</w:t>
      </w:r>
    </w:p>
    <w:p w14:paraId="6C7AE42E" w14:textId="77777777" w:rsidR="00597984" w:rsidRDefault="00597984" w:rsidP="00597984">
      <w:r>
        <w:lastRenderedPageBreak/>
        <w:t>* Further administrative consolidation efforts focused heavily on the optimization of third-party platform enterprise software licensing agreements, infrastructure tooling matrices, and cloud computing allocations utilized by the network analytics teams to streamline global technology footprints. By introducing centralized procurement filters, automating idle database machine terminations, re-routing non-critical computational jobs to off-peak hours, and establishing policy-driven compute controls, the infrastructure division successfully mitigated systemic technical debt liabilities, minimized operational friction spikes, and built a highly scalable, repeatable target operating model for future asset ingestions. This continuous fiscal verification loop was executed in direct alignment with corporate budget offices, requiring detailed software access log reviews, computing processing core utilization analyses, and multi-year data storage architecture value mappings. This licensing evaluation track was completely mirrored by a separate external auditing firm whose final descriptive reports contained thousands of lines of highly redundant methodology explanations that simply restated the original internal findings without altering the underlying procurement strategies, adding immense textual volume to the department’s archival filing systems. These redundant auditing dossiers are then manually re-indexed by corporate librarians into separate, secure infrastructure archives, a highly outdated and wordy tracking protocol that explicitly mimics the cloud storage structures already active within the company's main IT system environment.</w:t>
      </w:r>
    </w:p>
    <w:p w14:paraId="4190B637" w14:textId="77777777" w:rsidR="00597984" w:rsidRDefault="00597984" w:rsidP="00597984">
      <w:r>
        <w:t>* To expand upon these continuous tracking mechanics, a secondary administrative infrastructure audit was initiated by the platform steering committee to map long-term capital server asset amortization timelines across all connected high-performance cloud databases. This detailed monitoring loop included logging physical machine hardware failure metrics, compiling software dependency maps for aging continuous delivery platforms, negotiating bulk multi-seat upgrades with specialized virtualization vendors, and transferring legacy infrastructure automation scripts into highly scalable cloud processing networks. By standardizing these computational operational guides, the division successfully insulated its production pods from sudden local server hardware failures, reduced data loss vulnerabilities across production database staging platforms, and created a highly resilient framework for long-cycle systems exploration. To ensure perfect regulatory fidelity, this auditing process required the production of redundant physical logbooks at every single server rack station, forcing site reliability engineers to manually copy down digital operational metrics into physical paper records, which were then typed back into an separate, parallel database system to generate identical data fields for the absolute sake of administrative formatting uniformity. This physical copy requirement forces the department to maintain massive storage cabinets filled with paper duplicates that are never consulted, serving exclusively as a highly verbose physical monument to corporate compliance tracking guidelines.</w:t>
      </w:r>
    </w:p>
    <w:p w14:paraId="67AB3F69" w14:textId="77777777" w:rsidR="00597984" w:rsidRDefault="00597984" w:rsidP="00597984"/>
    <w:p w14:paraId="2FAC7A69" w14:textId="77777777" w:rsidR="00597984" w:rsidRDefault="00597984" w:rsidP="00597984">
      <w:r>
        <w:t>Vertex Cloud Solutions &amp; Enterprise Networks | Principal Infrastructure Architect</w:t>
      </w:r>
    </w:p>
    <w:p w14:paraId="06E0CAC4" w14:textId="77777777" w:rsidR="00597984" w:rsidRDefault="00597984" w:rsidP="00597984">
      <w:r>
        <w:t xml:space="preserve">* Formulated internal training materials, infrastructure documentation templates, and configuration runbooks aimed at helping junior technology consultants manage standard backend cloud database connections during enterprise infrastructure development tracks, ensuring long-term operational consistency after formal consulting engagements </w:t>
      </w:r>
      <w:proofErr w:type="gramStart"/>
      <w:r>
        <w:t>draw to a close</w:t>
      </w:r>
      <w:proofErr w:type="gramEnd"/>
      <w:r>
        <w:t>. This work required establishing version-controlled repository archives, writing step-by-step diagnostic scripts to isolate configuration deployment errors, and publishing comprehensive evaluation matrices to equalize evaluation vectors across 12 distinct regional client teams. Furthermore, these runbooks were subjected to multiple rounds of line-by-line editorial reviews by separate architecture committees, resulting in the addition of highly repetitive descriptive explanations for basic software installation parameters and redundant warning paragraphs that restated standard operational codes in multiple different vocabulary formats across separate chapters. This extensive editorial process added hundreds of pages of purely wordy explanations that restated identical concepts, such as instructing the user to double-click an icon using three separate paragraphs of highly formal, technical syntax.</w:t>
      </w:r>
    </w:p>
    <w:p w14:paraId="78CF72A7" w14:textId="77777777" w:rsidR="00597984" w:rsidRDefault="00597984" w:rsidP="00597984">
      <w:r>
        <w:t>* Architected a distributed network telemetry parsing platform and automated infrastructure health monitoring system for an enterprise cloud connectivity provider, decreasing the processing visibility gaps of multi-layered transactional routers down to near real-time tracking metrics by embedding high-speed memory-cached data structures within core message routing arrays, writing hyper-dimensional vector compliance mapping scripts, and integrating automated localized data parsing routines that intercept connection strings at the immediate terminal entry layer before core backend database settlement occurs. This structural framework relied on embedding distributed data processing modules straight into the system's execution layer, allowing analytical teams to run complex, multi-variable structural equations on live-streaming telemetry records without risking network failure states, creating an enduring operational baseline for long-term cloud traffic forecasting across public communication grids. [Achievement 5]</w:t>
      </w:r>
    </w:p>
    <w:p w14:paraId="496E6C60" w14:textId="77777777" w:rsidR="00597984" w:rsidRDefault="00597984" w:rsidP="00597984">
      <w:r>
        <w:t xml:space="preserve">* Conducted weekly alignment workshops and technical steering committee meetings between corporate database administration departments and external application development teams to maintain operational visibility over system migration tracks, prevent communication silos, draft detailed technical migration minutes for executive review, and establish unified change-management approval tokens across separate software staging zones. This technical synchronization effort required creating deep-dive code schema crosswalks, standardizing API configuration files for distributed data brokers, and writing robust fallback documentation parameters to govern unexpected </w:t>
      </w:r>
      <w:r>
        <w:lastRenderedPageBreak/>
        <w:t>system connectivity drops during peak multi-institutional data compute windows. These steering meetings were systematically scheduled on a bi-weekly basis to explicitly review unchanged data components, forcing technical project leads to continually draft verbose progress summaries that utilized alternate synonyms to describe identical system environments, effectively inflating the institutional archive without altering any network outputs. These summaries were then compiled into thick, multi-volume binders that were manually distributed to every department head, regardless of their relevance to the database project, ensuring a massive expenditure of paper and ink on completely redundant technical text.</w:t>
      </w:r>
    </w:p>
    <w:p w14:paraId="2C407485" w14:textId="77777777" w:rsidR="00597984" w:rsidRDefault="00597984" w:rsidP="00597984">
      <w:r>
        <w:t>* Compressed annual platform infrastructure application support operational overhead metrics by automating internal batch reconciliation routines, removing manual configuration lookup bottlenecks, implementing self-healing data pipeline protocols across distributed processing channels, and designing complex programmatic error-handling wrappers that automatically correct minor file format mismatches without requiring manual human intervention from core engineering teams during active deployment loops, thereby freeing critical development resources to focus exclusively on launching public-facing platform capability expansions. This process optimization structure operated entirely within the baseline parameters of the company's central analytics grid, utilizing integrated error-catching daemons that intercept connection faults at the execution layer, parse database string formatting mismatches, execute localized schema modifications based on pre-approved metadata translation tables, and re-submit the corrected information packets without requiring manual engineering interventions or operational user workflow modifications.</w:t>
      </w:r>
    </w:p>
    <w:p w14:paraId="3FC2DD65" w14:textId="77777777" w:rsidR="00597984" w:rsidRDefault="00597984" w:rsidP="00597984">
      <w:r>
        <w:t xml:space="preserve">* Further administrative consolidation efforts focused heavily on the optimization of third-party technical software licensing agreements, enterprise tooling matrices, and cloud computing allocations utilized by the core development teams to streamline global technology footprints. By introducing centralized procurement filters, automating idle server terminations, re-routing non-critical computational jobs to off-peak hours, and establishing policy-driven compute controls, the advisory division successfully mitigated systemic technical debt liabilities, minimized operational friction spikes, and built a highly scalable, repeatable target operating model for future asset ingestions. This continuous administrative loop required compiling extensive system integration playbooks, configuring automated access alert matrices inside regional computing hubs, and mapping long-term infrastructure asset paths against evolving public compliance mandates. The output of this licensing optimization track was documented across twelve separate, highly redundant master manuals that contained near-identical explanations of procurement strategies, with each version slightly re-worded to satisfy the narrow linguistic preferences of individual corporate sub-departments. This massive documentation matrix required a separate, dedicated administrative committee whose sole weekly function was to cross-reference the wording of each </w:t>
      </w:r>
      <w:r>
        <w:lastRenderedPageBreak/>
        <w:t>manual to ensure that all twelve files maintained an identical tone of formal bureaucratic density.</w:t>
      </w:r>
    </w:p>
    <w:p w14:paraId="31B445AE" w14:textId="77777777" w:rsidR="00597984" w:rsidRDefault="00597984" w:rsidP="00597984">
      <w:r>
        <w:t xml:space="preserve">* To ensure continuous platform readiness, the architect additionally assumed ownership over the bi-annual facility calibration tracks for the company's advanced infrastructure network testing suites. This specialized process required monitoring sensory equipment telemetry outputs, cross-referencing network observation timeline metrics with standardized enterprise communication data formats, managing hardware maintenance contracts with external electrical engineering providers, and compiling strict operational runbooks to ensure incoming engineering fellows could configure baseline testing environments with zero systemic variance or telemetry-collection dropouts. This calibration sequence was entirely mirrored by a parallel manual charting process where assistants were forced to write out long-form descriptive paragraphs describing the physical appearance of the testing hardware every morning, resulting in thousands of pages of purely wordy text that provided no incremental technical value beyond the automated data readouts. These handwritten logs were then manually typed into </w:t>
      </w:r>
      <w:proofErr w:type="gramStart"/>
      <w:r>
        <w:t>an</w:t>
      </w:r>
      <w:proofErr w:type="gramEnd"/>
      <w:r>
        <w:t xml:space="preserve"> separate database tracking portal that generated a third set of identical data metrics, completing a perfectly circular and completely redundant archival loop.</w:t>
      </w:r>
    </w:p>
    <w:p w14:paraId="6BE203D1" w14:textId="77777777" w:rsidR="00597984" w:rsidRDefault="00597984" w:rsidP="00597984">
      <w:r>
        <w:t>* Concurrently, a multi-year technical outreach program was established to bridge corporate development tracks with local secondary education systems. This foundational program involved drafting high-school-level computer science modules, organizing continuous professional development seminars for regional technology instructors, managing corporate volunteer sub-allocations during weekend lecture series, and developing standardized online evaluation surveys to verify outreach efficacy and secure continuous programmatic funding from regional educational endowment networks. To satisfy the complex filing demands of external donors, every single meeting held during this outreach program was recorded via a highly detailed, wordy transcript document that spent hundreds of lines summarizing simple logistical discussions about bus scheduling, classroom choices, and catering details in an excessively formal, corporate tone. These long transcripts were then re-summarized into separate monthly progress reports that repeated the same information using slightly different introductory clauses, ensuring that the funding agency received multiple copies of the identical scheduling details under separate document headings.</w:t>
      </w:r>
    </w:p>
    <w:p w14:paraId="58B9606F" w14:textId="77777777" w:rsidR="00597984" w:rsidRDefault="00597984" w:rsidP="00597984">
      <w:r>
        <w:t xml:space="preserve">* Spearheaded the foundational data warehousing, metadata indexing, and access protocol standardization models for a cross-border international server telemetry repository, consolidating disparate cloud infrastructure data records from 6 independent platform systems during an emergency enterprise infrastructure monitoring mandate, which successfully unified 14.2M operational system vectors under a single federated querying framework and generated $1.6M in recurrent computational licensing overhead reductions through the programmatic elimination of </w:t>
      </w:r>
      <w:r>
        <w:lastRenderedPageBreak/>
        <w:t>historical database query overlaps and manual cross-site index verifications. [Achievement 6]</w:t>
      </w:r>
    </w:p>
    <w:p w14:paraId="5AB577BC" w14:textId="77777777" w:rsidR="00597984" w:rsidRDefault="00597984" w:rsidP="00597984">
      <w:r>
        <w:t>* Conceived, engineered, and executed an institutional high-performance virtualization matrix across 3 distinct infrastructure computing facilities, migrating legacy sequential data deployment pipelines to a multi-threaded, dynamically load-balanced server array that compressed high-concurrency architecture verification runtimes from 16 business days down to a stabilized 95 minutes, expanding active platform testing capacity by 240% and neutralizing long-standing compute processing wait times without exceeding baseline corporate power allocation quotas or requiring hardware acquisition upgrades. [Achievement 7]</w:t>
      </w:r>
    </w:p>
    <w:p w14:paraId="7EBF5956" w14:textId="77777777" w:rsidR="00597984" w:rsidRDefault="00597984" w:rsidP="00597984"/>
    <w:p w14:paraId="0DD3239E" w14:textId="77777777" w:rsidR="00597984" w:rsidRDefault="00597984" w:rsidP="00597984">
      <w:r>
        <w:t>EDUCATION &amp; ACADEMIC CREDENTIALS</w:t>
      </w:r>
    </w:p>
    <w:p w14:paraId="780A231C" w14:textId="77777777" w:rsidR="00597984" w:rsidRDefault="00597984" w:rsidP="00597984">
      <w:r>
        <w:t>M.S. in Distributed Systems &amp; Computer Engineering | Georgia Institute of Technology</w:t>
      </w:r>
    </w:p>
    <w:p w14:paraId="420BA56D" w14:textId="37F1EAA6" w:rsidR="00B060C4" w:rsidRPr="00597984" w:rsidRDefault="00597984" w:rsidP="00597984">
      <w:r>
        <w:t>B.S. in Computer Science &amp; Network Architecture | University of Texas at Austin</w:t>
      </w:r>
    </w:p>
    <w:sectPr w:rsidR="00B060C4" w:rsidRPr="00597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06950"/>
    <w:rsid w:val="0005354C"/>
    <w:rsid w:val="00056E24"/>
    <w:rsid w:val="00060BBE"/>
    <w:rsid w:val="000E6DAC"/>
    <w:rsid w:val="00127DAF"/>
    <w:rsid w:val="00133CDE"/>
    <w:rsid w:val="001A3DFE"/>
    <w:rsid w:val="001E574C"/>
    <w:rsid w:val="00293D57"/>
    <w:rsid w:val="002C5FCA"/>
    <w:rsid w:val="002C67A6"/>
    <w:rsid w:val="00316B65"/>
    <w:rsid w:val="00357EC8"/>
    <w:rsid w:val="0043300C"/>
    <w:rsid w:val="00520B23"/>
    <w:rsid w:val="00582A4F"/>
    <w:rsid w:val="00597984"/>
    <w:rsid w:val="005D765F"/>
    <w:rsid w:val="006615AD"/>
    <w:rsid w:val="006672AD"/>
    <w:rsid w:val="006D5017"/>
    <w:rsid w:val="007E3F1B"/>
    <w:rsid w:val="007F07EC"/>
    <w:rsid w:val="008B74D8"/>
    <w:rsid w:val="008F6DC9"/>
    <w:rsid w:val="0093275B"/>
    <w:rsid w:val="00AA5C92"/>
    <w:rsid w:val="00B03A8B"/>
    <w:rsid w:val="00B060C4"/>
    <w:rsid w:val="00BA4F93"/>
    <w:rsid w:val="00BD7112"/>
    <w:rsid w:val="00BE702F"/>
    <w:rsid w:val="00C44069"/>
    <w:rsid w:val="00D558F4"/>
    <w:rsid w:val="00DF3E09"/>
    <w:rsid w:val="00E40937"/>
    <w:rsid w:val="00ED138E"/>
    <w:rsid w:val="00EE1C2B"/>
    <w:rsid w:val="00EE5051"/>
    <w:rsid w:val="00F24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4162</Words>
  <Characters>23730</Characters>
  <Application>Microsoft Office Word</Application>
  <DocSecurity>0</DocSecurity>
  <Lines>197</Lines>
  <Paragraphs>55</Paragraphs>
  <ScaleCrop>false</ScaleCrop>
  <Company/>
  <LinksUpToDate>false</LinksUpToDate>
  <CharactersWithSpaces>27837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37</cp:revision>
  <dcterms:created xsi:type="dcterms:W3CDTF">2026-06-04T16:37:00Z</dcterms:created>
  <dcterms:modified xsi:type="dcterms:W3CDTF">2026-06-04T22:05:00Z</dcterms:modified>
</cp:coreProperties>
</file>